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304341392"/>
        <w:docPartObj>
          <w:docPartGallery w:val="Cover Pages"/>
          <w:docPartUnique/>
        </w:docPartObj>
      </w:sdtPr>
      <w:sdtContent>
        <w:p w:rsidR="0006374D" w:rsidRDefault="00800839">
          <w:r>
            <w:rPr>
              <w:noProof/>
            </w:rPr>
            <w:drawing>
              <wp:anchor distT="0" distB="0" distL="114300" distR="114300" simplePos="0" relativeHeight="251665408" behindDoc="0" locked="0" layoutInCell="1" allowOverlap="1">
                <wp:simplePos x="0" y="0"/>
                <wp:positionH relativeFrom="column">
                  <wp:posOffset>-257810</wp:posOffset>
                </wp:positionH>
                <wp:positionV relativeFrom="paragraph">
                  <wp:posOffset>-372745</wp:posOffset>
                </wp:positionV>
                <wp:extent cx="1425575" cy="1148080"/>
                <wp:effectExtent l="19050" t="0" r="3175" b="0"/>
                <wp:wrapThrough wrapText="bothSides">
                  <wp:wrapPolygon edited="0">
                    <wp:start x="-289" y="0"/>
                    <wp:lineTo x="-289" y="21146"/>
                    <wp:lineTo x="21648" y="21146"/>
                    <wp:lineTo x="21648" y="0"/>
                    <wp:lineTo x="-289" y="0"/>
                  </wp:wrapPolygon>
                </wp:wrapThrough>
                <wp:docPr id="3" name="Picture 2" descr="logo-3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3d.png"/>
                        <pic:cNvPicPr/>
                      </pic:nvPicPr>
                      <pic:blipFill>
                        <a:blip r:embed="rId9" cstate="print"/>
                        <a:stretch>
                          <a:fillRect/>
                        </a:stretch>
                      </pic:blipFill>
                      <pic:spPr>
                        <a:xfrm>
                          <a:off x="0" y="0"/>
                          <a:ext cx="1425575" cy="1148080"/>
                        </a:xfrm>
                        <a:prstGeom prst="rect">
                          <a:avLst/>
                        </a:prstGeom>
                      </pic:spPr>
                    </pic:pic>
                  </a:graphicData>
                </a:graphic>
              </wp:anchor>
            </w:drawing>
          </w:r>
          <w:r w:rsidR="00CC6CFD">
            <w:rPr>
              <w:noProof/>
            </w:rPr>
            <w:pict>
              <v:rect id="_x0000_s1032" style="position:absolute;margin-left:0;margin-top:198.65pt;width:549.75pt;height:50.4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32;mso-fit-shape-to-text:t" inset="14.4pt,,14.4pt">
                  <w:txbxContent>
                    <w:sdt>
                      <w:sdtPr>
                        <w:rPr>
                          <w:rFonts w:asciiTheme="majorHAnsi" w:eastAsiaTheme="majorEastAsia" w:hAnsiTheme="majorHAnsi" w:cstheme="majorBidi"/>
                          <w:color w:val="FFFFFF" w:themeColor="background1"/>
                          <w:sz w:val="52"/>
                          <w:szCs w:val="52"/>
                        </w:rPr>
                        <w:alias w:val="Title"/>
                        <w:id w:val="103676091"/>
                        <w:dataBinding w:prefixMappings="xmlns:ns0='http://schemas.openxmlformats.org/package/2006/metadata/core-properties' xmlns:ns1='http://purl.org/dc/elements/1.1/'" w:xpath="/ns0:coreProperties[1]/ns1:title[1]" w:storeItemID="{6C3C8BC8-F283-45AE-878A-BAB7291924A1}"/>
                        <w:text/>
                      </w:sdtPr>
                      <w:sdtContent>
                        <w:p w:rsidR="0006374D" w:rsidRPr="0006374D" w:rsidRDefault="0006374D">
                          <w:pPr>
                            <w:pStyle w:val="NoSpacing"/>
                            <w:jc w:val="right"/>
                            <w:rPr>
                              <w:rFonts w:asciiTheme="majorHAnsi" w:eastAsiaTheme="majorEastAsia" w:hAnsiTheme="majorHAnsi" w:cstheme="majorBidi"/>
                              <w:color w:val="FFFFFF" w:themeColor="background1"/>
                              <w:sz w:val="52"/>
                              <w:szCs w:val="52"/>
                            </w:rPr>
                          </w:pPr>
                          <w:r w:rsidRPr="0006374D">
                            <w:rPr>
                              <w:rFonts w:asciiTheme="majorHAnsi" w:eastAsiaTheme="majorEastAsia" w:hAnsiTheme="majorHAnsi" w:cstheme="majorBidi"/>
                              <w:color w:val="FFFFFF" w:themeColor="background1"/>
                              <w:sz w:val="52"/>
                              <w:szCs w:val="52"/>
                            </w:rPr>
                            <w:t>Comprehending Financial Statements For Directors and Senior Management</w:t>
                          </w:r>
                        </w:p>
                      </w:sdtContent>
                    </w:sdt>
                  </w:txbxContent>
                </v:textbox>
                <w10:wrap anchorx="page" anchory="page"/>
              </v:rect>
            </w:pict>
          </w:r>
          <w:r w:rsidR="00CC6CFD">
            <w:rPr>
              <w:noProof/>
            </w:rPr>
            <w:pict>
              <v:group id="_x0000_s1026" style="position:absolute;margin-left:4358.35pt;margin-top:0;width:244.8pt;height:11in;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bbb59 [3206]"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10"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sdt>
                        <w:sdtPr>
                          <w:rPr>
                            <w:rFonts w:asciiTheme="majorHAnsi" w:eastAsiaTheme="majorEastAsia" w:hAnsiTheme="majorHAnsi" w:cstheme="majorBidi"/>
                            <w:b/>
                            <w:bCs/>
                            <w:color w:val="FFFFFF" w:themeColor="background1"/>
                            <w:sz w:val="96"/>
                            <w:szCs w:val="96"/>
                          </w:rPr>
                          <w:alias w:val="Year"/>
                          <w:id w:val="103676087"/>
                          <w:dataBinding w:prefixMappings="xmlns:ns0='http://schemas.microsoft.com/office/2006/coverPageProps'" w:xpath="/ns0:CoverPageProperties[1]/ns0:PublishDate[1]" w:storeItemID="{55AF091B-3C7A-41E3-B477-F2FDAA23CFDA}"/>
                          <w:date w:fullDate="2017-01-01T00:00:00Z">
                            <w:dateFormat w:val="yyyy"/>
                            <w:lid w:val="en-US"/>
                            <w:storeMappedDataAs w:val="dateTime"/>
                            <w:calendar w:val="gregorian"/>
                          </w:date>
                        </w:sdtPr>
                        <w:sdtContent>
                          <w:p w:rsidR="0006374D" w:rsidRDefault="0006374D">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w:t>
                            </w:r>
                            <w:r w:rsidR="0092057A">
                              <w:rPr>
                                <w:rFonts w:asciiTheme="majorHAnsi" w:eastAsiaTheme="majorEastAsia" w:hAnsiTheme="majorHAnsi" w:cstheme="majorBidi"/>
                                <w:b/>
                                <w:bCs/>
                                <w:color w:val="FFFFFF" w:themeColor="background1"/>
                                <w:sz w:val="96"/>
                                <w:szCs w:val="96"/>
                              </w:rPr>
                              <w:t>7</w:t>
                            </w:r>
                          </w:p>
                        </w:sdtContent>
                      </w:sdt>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p w:rsidR="0006374D" w:rsidRDefault="0006374D">
                        <w:pPr>
                          <w:pStyle w:val="NoSpacing"/>
                          <w:spacing w:line="360" w:lineRule="auto"/>
                          <w:rPr>
                            <w:color w:val="FFFFFF" w:themeColor="background1"/>
                          </w:rPr>
                        </w:pPr>
                      </w:p>
                      <w:p w:rsidR="0006374D" w:rsidRDefault="0006374D">
                        <w:pPr>
                          <w:pStyle w:val="NoSpacing"/>
                          <w:spacing w:line="360" w:lineRule="auto"/>
                          <w:rPr>
                            <w:color w:val="FFFFFF" w:themeColor="background1"/>
                          </w:rPr>
                        </w:pPr>
                      </w:p>
                      <w:p w:rsidR="0006374D" w:rsidRPr="0006374D" w:rsidRDefault="0006374D">
                        <w:pPr>
                          <w:pStyle w:val="NoSpacing"/>
                          <w:spacing w:line="360" w:lineRule="auto"/>
                          <w:rPr>
                            <w:color w:val="FFFFFF" w:themeColor="background1"/>
                            <w:sz w:val="40"/>
                            <w:szCs w:val="40"/>
                          </w:rPr>
                        </w:pPr>
                      </w:p>
                    </w:txbxContent>
                  </v:textbox>
                </v:rect>
                <w10:wrap anchorx="page" anchory="page"/>
              </v:group>
            </w:pict>
          </w:r>
        </w:p>
        <w:p w:rsidR="0006374D" w:rsidRDefault="00CC6CFD">
          <w:r>
            <w:rPr>
              <w:noProof/>
              <w:lang w:eastAsia="zh-TW"/>
            </w:rPr>
            <w:lastRenderedPageBreak/>
            <w:pict>
              <v:shapetype id="_x0000_t202" coordsize="21600,21600" o:spt="202" path="m,l,21600r21600,l21600,xe">
                <v:stroke joinstyle="miter"/>
                <v:path gradientshapeok="t" o:connecttype="rect"/>
              </v:shapetype>
              <v:shape id="_x0000_s1033" type="#_x0000_t202" style="position:absolute;margin-left:-267.85pt;margin-top:53.95pt;width:140.85pt;height:26pt;z-index:251664384;mso-width-relative:margin;mso-height-relative:margin" filled="f" stroked="f">
                <v:textbox>
                  <w:txbxContent>
                    <w:p w:rsidR="00800839" w:rsidRPr="00800839" w:rsidRDefault="00800839">
                      <w:pPr>
                        <w:rPr>
                          <w:sz w:val="32"/>
                          <w:szCs w:val="32"/>
                        </w:rPr>
                      </w:pPr>
                      <w:r w:rsidRPr="00800839">
                        <w:rPr>
                          <w:sz w:val="32"/>
                          <w:szCs w:val="32"/>
                        </w:rPr>
                        <w:t>BURSATRA</w:t>
                      </w:r>
                    </w:p>
                  </w:txbxContent>
                </v:textbox>
              </v:shape>
            </w:pict>
          </w:r>
          <w:r w:rsidR="0006374D">
            <w:rPr>
              <w:noProof/>
            </w:rPr>
            <w:drawing>
              <wp:anchor distT="0" distB="0" distL="114300" distR="114300" simplePos="0" relativeHeight="251661312" behindDoc="0" locked="0" layoutInCell="0" allowOverlap="1">
                <wp:simplePos x="0" y="0"/>
                <wp:positionH relativeFrom="page">
                  <wp:align>right</wp:align>
                </wp:positionH>
                <wp:positionV relativeFrom="page">
                  <wp:align>center</wp:align>
                </wp:positionV>
                <wp:extent cx="5512218" cy="3706967"/>
                <wp:effectExtent l="19050" t="19050" r="12282"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1" cstate="print"/>
                        <a:stretch>
                          <a:fillRect/>
                        </a:stretch>
                      </pic:blipFill>
                      <pic:spPr>
                        <a:xfrm>
                          <a:off x="0" y="0"/>
                          <a:ext cx="5512218" cy="3706967"/>
                        </a:xfrm>
                        <a:prstGeom prst="rect">
                          <a:avLst/>
                        </a:prstGeom>
                        <a:ln w="12700">
                          <a:solidFill>
                            <a:schemeClr val="bg1"/>
                          </a:solidFill>
                        </a:ln>
                      </pic:spPr>
                    </pic:pic>
                  </a:graphicData>
                </a:graphic>
              </wp:anchor>
            </w:drawing>
          </w:r>
          <w:r w:rsidR="0006374D">
            <w:br w:type="page"/>
          </w:r>
        </w:p>
      </w:sdtContent>
    </w:sdt>
    <w:p w:rsidR="008D444E" w:rsidRDefault="008D444E" w:rsidP="00E11DAF">
      <w:pPr>
        <w:rPr>
          <w:noProof/>
          <w:sz w:val="20"/>
          <w:szCs w:val="20"/>
        </w:rPr>
        <w:sectPr w:rsidR="008D444E" w:rsidSect="00374D0B">
          <w:headerReference w:type="even" r:id="rId12"/>
          <w:headerReference w:type="default" r:id="rId13"/>
          <w:footerReference w:type="default" r:id="rId14"/>
          <w:headerReference w:type="first" r:id="rId15"/>
          <w:footerReference w:type="first" r:id="rId16"/>
          <w:pgSz w:w="12240" w:h="15840"/>
          <w:pgMar w:top="1440" w:right="1440" w:bottom="1440" w:left="1440" w:header="720" w:footer="720" w:gutter="0"/>
          <w:cols w:num="2" w:space="720"/>
          <w:titlePg/>
          <w:docGrid w:linePitch="360"/>
        </w:sectPr>
      </w:pPr>
    </w:p>
    <w:p w:rsidR="00E11DAF" w:rsidRDefault="00CC6CFD" w:rsidP="00E11DAF">
      <w:pPr>
        <w:rPr>
          <w:noProof/>
          <w:sz w:val="20"/>
          <w:szCs w:val="20"/>
        </w:rPr>
      </w:pPr>
      <w:r w:rsidRPr="00CC6CFD">
        <w:rPr>
          <w:noProof/>
        </w:rPr>
        <w:lastRenderedPageBreak/>
        <w:pict>
          <v:roundrect id="_x0000_s1035" style="position:absolute;margin-left:-9.75pt;margin-top:-7.55pt;width:150.55pt;height:23.4pt;z-index:-251650048" arcsize="10923f">
            <v:shadow on="t" offset="3pt" offset2="2pt"/>
            <v:textbox>
              <w:txbxContent>
                <w:p w:rsidR="00374D0B" w:rsidRPr="001034F5" w:rsidRDefault="00374D0B" w:rsidP="00374D0B">
                  <w:pPr>
                    <w:rPr>
                      <w:sz w:val="20"/>
                    </w:rPr>
                  </w:pPr>
                  <w:r w:rsidRPr="001034F5">
                    <w:rPr>
                      <w:sz w:val="20"/>
                    </w:rPr>
                    <w:t>CORPORATE OBJECTIVE</w:t>
                  </w:r>
                </w:p>
              </w:txbxContent>
            </v:textbox>
          </v:roundrect>
        </w:pict>
      </w:r>
    </w:p>
    <w:p w:rsidR="00374D0B" w:rsidRPr="00374D0B" w:rsidRDefault="00374D0B" w:rsidP="00FE2F55">
      <w:pPr>
        <w:jc w:val="both"/>
        <w:rPr>
          <w:noProof/>
          <w:sz w:val="20"/>
          <w:szCs w:val="20"/>
        </w:rPr>
      </w:pPr>
      <w:r w:rsidRPr="00374D0B">
        <w:rPr>
          <w:noProof/>
          <w:sz w:val="20"/>
          <w:szCs w:val="20"/>
        </w:rPr>
        <w:t>Every business decision you make today has a financial implication on your organisation. Whether you are in general management, sales and marketing, production, operation or company secretary, you need some basic understanding of various financial course sequences and implication of a decision made by your team members. Finance and accounting cannot be left solely to the financial staff as you will need the understanding of financial statement in order to create a competitive advantage over your counterpart within the same industry.</w:t>
      </w:r>
    </w:p>
    <w:p w:rsidR="00374D0B" w:rsidRDefault="00CC6CFD" w:rsidP="00374D0B">
      <w:pPr>
        <w:jc w:val="both"/>
        <w:rPr>
          <w:noProof/>
          <w:sz w:val="20"/>
          <w:szCs w:val="20"/>
        </w:rPr>
      </w:pPr>
      <w:r>
        <w:rPr>
          <w:noProof/>
          <w:sz w:val="20"/>
          <w:szCs w:val="20"/>
        </w:rPr>
        <w:pict>
          <v:roundrect id="_x0000_s1036" style="position:absolute;left:0;text-align:left;margin-left:-9.75pt;margin-top:50.4pt;width:150.55pt;height:23.4pt;z-index:-251649024" arcsize="10923f">
            <v:shadow on="t" offset="3pt" offset2="2pt"/>
            <v:textbox>
              <w:txbxContent>
                <w:p w:rsidR="00374D0B" w:rsidRPr="001034F5" w:rsidRDefault="00374D0B" w:rsidP="00374D0B">
                  <w:pPr>
                    <w:rPr>
                      <w:sz w:val="20"/>
                    </w:rPr>
                  </w:pPr>
                  <w:r>
                    <w:rPr>
                      <w:sz w:val="20"/>
                    </w:rPr>
                    <w:t>METHODOLOGY</w:t>
                  </w:r>
                </w:p>
              </w:txbxContent>
            </v:textbox>
          </v:roundrect>
        </w:pict>
      </w:r>
      <w:r w:rsidR="00374D0B" w:rsidRPr="00374D0B">
        <w:rPr>
          <w:noProof/>
          <w:sz w:val="20"/>
          <w:szCs w:val="20"/>
        </w:rPr>
        <w:t>The participant will learn the features and limitation of financial statement which become the primary source of information for decision making.</w:t>
      </w:r>
    </w:p>
    <w:p w:rsidR="00374D0B" w:rsidRDefault="00374D0B" w:rsidP="00374D0B">
      <w:pPr>
        <w:jc w:val="both"/>
        <w:rPr>
          <w:noProof/>
          <w:sz w:val="20"/>
          <w:szCs w:val="20"/>
        </w:rPr>
      </w:pPr>
    </w:p>
    <w:p w:rsidR="00374D0B" w:rsidRDefault="00CC6CFD" w:rsidP="00374D0B">
      <w:pPr>
        <w:jc w:val="both"/>
        <w:rPr>
          <w:sz w:val="20"/>
          <w:szCs w:val="20"/>
        </w:rPr>
      </w:pPr>
      <w:r>
        <w:rPr>
          <w:noProof/>
          <w:sz w:val="20"/>
          <w:szCs w:val="20"/>
        </w:rPr>
        <w:pict>
          <v:roundrect id="_x0000_s1037" style="position:absolute;left:0;text-align:left;margin-left:-9.75pt;margin-top:34.15pt;width:150.55pt;height:23.4pt;z-index:-251648000" arcsize="10923f">
            <v:shadow on="t" offset="3pt" offset2="2pt"/>
            <v:textbox>
              <w:txbxContent>
                <w:p w:rsidR="00374D0B" w:rsidRPr="001034F5" w:rsidRDefault="00374D0B" w:rsidP="00374D0B">
                  <w:pPr>
                    <w:rPr>
                      <w:sz w:val="20"/>
                    </w:rPr>
                  </w:pPr>
                  <w:r>
                    <w:rPr>
                      <w:sz w:val="20"/>
                    </w:rPr>
                    <w:t>COURSE CONTENT</w:t>
                  </w:r>
                </w:p>
              </w:txbxContent>
            </v:textbox>
          </v:roundrect>
        </w:pict>
      </w:r>
      <w:r w:rsidR="00374D0B" w:rsidRPr="00374D0B">
        <w:rPr>
          <w:sz w:val="20"/>
          <w:szCs w:val="20"/>
        </w:rPr>
        <w:t>Lectures, discussions, simulation exercises and practical case studies</w:t>
      </w:r>
    </w:p>
    <w:p w:rsidR="00374D0B" w:rsidRDefault="00374D0B" w:rsidP="00374D0B">
      <w:pPr>
        <w:jc w:val="both"/>
        <w:rPr>
          <w:sz w:val="20"/>
          <w:szCs w:val="20"/>
        </w:rPr>
      </w:pPr>
    </w:p>
    <w:p w:rsidR="00374D0B" w:rsidRDefault="00374D0B" w:rsidP="00EA763B">
      <w:pPr>
        <w:spacing w:after="0" w:line="240" w:lineRule="auto"/>
        <w:jc w:val="both"/>
        <w:rPr>
          <w:rFonts w:ascii="Century Gothic" w:hAnsi="Century Gothic" w:cs="Arial"/>
          <w:b/>
          <w:sz w:val="20"/>
          <w:lang w:val="en-MY"/>
        </w:rPr>
      </w:pPr>
      <w:r w:rsidRPr="00CC4D67">
        <w:rPr>
          <w:rFonts w:ascii="Century Gothic" w:hAnsi="Century Gothic" w:cs="Arial"/>
          <w:b/>
          <w:sz w:val="20"/>
          <w:lang w:val="en-MY"/>
        </w:rPr>
        <w:t>Element of financial statement</w:t>
      </w:r>
    </w:p>
    <w:p w:rsidR="00374D0B" w:rsidRPr="00374D0B" w:rsidRDefault="00374D0B" w:rsidP="00914494">
      <w:pPr>
        <w:pStyle w:val="ListParagraph"/>
        <w:numPr>
          <w:ilvl w:val="0"/>
          <w:numId w:val="1"/>
        </w:numPr>
        <w:spacing w:after="0" w:line="240" w:lineRule="auto"/>
        <w:ind w:left="547"/>
        <w:jc w:val="both"/>
        <w:rPr>
          <w:sz w:val="20"/>
          <w:szCs w:val="20"/>
        </w:rPr>
      </w:pPr>
      <w:r w:rsidRPr="00374D0B">
        <w:rPr>
          <w:sz w:val="20"/>
          <w:szCs w:val="20"/>
        </w:rPr>
        <w:t>classification of assets and liabilities</w:t>
      </w:r>
    </w:p>
    <w:p w:rsidR="00374D0B" w:rsidRPr="00374D0B" w:rsidRDefault="00374D0B" w:rsidP="00914494">
      <w:pPr>
        <w:pStyle w:val="ListParagraph"/>
        <w:numPr>
          <w:ilvl w:val="0"/>
          <w:numId w:val="1"/>
        </w:numPr>
        <w:spacing w:after="0" w:line="240" w:lineRule="auto"/>
        <w:ind w:left="547"/>
        <w:jc w:val="both"/>
        <w:rPr>
          <w:sz w:val="20"/>
          <w:szCs w:val="20"/>
        </w:rPr>
      </w:pPr>
      <w:r w:rsidRPr="00374D0B">
        <w:rPr>
          <w:sz w:val="20"/>
          <w:szCs w:val="20"/>
        </w:rPr>
        <w:t xml:space="preserve">revenue recognition vs. cash accounting </w:t>
      </w:r>
    </w:p>
    <w:p w:rsidR="00374D0B" w:rsidRPr="00374D0B" w:rsidRDefault="00374D0B" w:rsidP="00914494">
      <w:pPr>
        <w:pStyle w:val="ListParagraph"/>
        <w:numPr>
          <w:ilvl w:val="0"/>
          <w:numId w:val="1"/>
        </w:numPr>
        <w:spacing w:after="0" w:line="240" w:lineRule="auto"/>
        <w:ind w:left="547"/>
        <w:jc w:val="both"/>
        <w:rPr>
          <w:sz w:val="20"/>
          <w:szCs w:val="20"/>
        </w:rPr>
      </w:pPr>
      <w:r w:rsidRPr="00374D0B">
        <w:rPr>
          <w:sz w:val="20"/>
          <w:szCs w:val="20"/>
        </w:rPr>
        <w:t>types of capital and cost structure in the company</w:t>
      </w:r>
    </w:p>
    <w:p w:rsidR="00374D0B" w:rsidRDefault="00374D0B" w:rsidP="00914494">
      <w:pPr>
        <w:pStyle w:val="ListParagraph"/>
        <w:numPr>
          <w:ilvl w:val="0"/>
          <w:numId w:val="1"/>
        </w:numPr>
        <w:spacing w:after="0" w:line="240" w:lineRule="auto"/>
        <w:ind w:left="547"/>
        <w:jc w:val="both"/>
        <w:rPr>
          <w:sz w:val="20"/>
          <w:szCs w:val="20"/>
        </w:rPr>
      </w:pPr>
      <w:r w:rsidRPr="00374D0B">
        <w:rPr>
          <w:sz w:val="20"/>
          <w:szCs w:val="20"/>
        </w:rPr>
        <w:t>capital expenditure vs. operating expenses</w:t>
      </w:r>
    </w:p>
    <w:p w:rsidR="00D30C7C" w:rsidRPr="00D30C7C" w:rsidRDefault="00D30C7C" w:rsidP="00D30C7C">
      <w:pPr>
        <w:spacing w:after="0" w:line="240" w:lineRule="auto"/>
        <w:ind w:left="180"/>
        <w:jc w:val="both"/>
        <w:rPr>
          <w:sz w:val="20"/>
          <w:szCs w:val="20"/>
        </w:rPr>
      </w:pPr>
    </w:p>
    <w:p w:rsidR="00374D0B" w:rsidRDefault="00374D0B" w:rsidP="00EA763B">
      <w:pPr>
        <w:spacing w:after="0" w:line="240" w:lineRule="auto"/>
        <w:jc w:val="both"/>
        <w:rPr>
          <w:rFonts w:ascii="Century Gothic" w:hAnsi="Century Gothic" w:cs="Arial"/>
          <w:b/>
          <w:sz w:val="20"/>
          <w:lang w:val="en-MY"/>
        </w:rPr>
      </w:pPr>
      <w:r w:rsidRPr="00CC4D67">
        <w:rPr>
          <w:rFonts w:ascii="Century Gothic" w:hAnsi="Century Gothic" w:cs="Arial"/>
          <w:b/>
          <w:sz w:val="20"/>
          <w:lang w:val="en-MY"/>
        </w:rPr>
        <w:t xml:space="preserve">Financial statement </w:t>
      </w:r>
      <w:r>
        <w:rPr>
          <w:rFonts w:ascii="Century Gothic" w:hAnsi="Century Gothic" w:cs="Arial"/>
          <w:b/>
          <w:sz w:val="20"/>
          <w:lang w:val="en-MY"/>
        </w:rPr>
        <w:t xml:space="preserve">– </w:t>
      </w:r>
      <w:r w:rsidRPr="00CC4D67">
        <w:rPr>
          <w:rFonts w:ascii="Century Gothic" w:hAnsi="Century Gothic" w:cs="Arial"/>
          <w:b/>
          <w:sz w:val="20"/>
          <w:lang w:val="en-MY"/>
        </w:rPr>
        <w:t>overview</w:t>
      </w:r>
    </w:p>
    <w:p w:rsidR="00374D0B" w:rsidRPr="00374D0B" w:rsidRDefault="00374D0B" w:rsidP="00D30C7C">
      <w:pPr>
        <w:pStyle w:val="ListParagraph"/>
        <w:numPr>
          <w:ilvl w:val="0"/>
          <w:numId w:val="2"/>
        </w:numPr>
        <w:spacing w:after="100" w:afterAutospacing="1" w:line="240" w:lineRule="auto"/>
        <w:ind w:left="540"/>
        <w:jc w:val="both"/>
        <w:rPr>
          <w:sz w:val="20"/>
          <w:szCs w:val="20"/>
        </w:rPr>
      </w:pPr>
      <w:r w:rsidRPr="00374D0B">
        <w:rPr>
          <w:sz w:val="20"/>
          <w:szCs w:val="20"/>
        </w:rPr>
        <w:t xml:space="preserve">component of income statement </w:t>
      </w:r>
    </w:p>
    <w:p w:rsidR="00374D0B" w:rsidRPr="00374D0B" w:rsidRDefault="00374D0B" w:rsidP="00D30C7C">
      <w:pPr>
        <w:pStyle w:val="ListParagraph"/>
        <w:numPr>
          <w:ilvl w:val="0"/>
          <w:numId w:val="2"/>
        </w:numPr>
        <w:spacing w:after="100" w:afterAutospacing="1" w:line="240" w:lineRule="auto"/>
        <w:ind w:left="540"/>
        <w:jc w:val="both"/>
        <w:rPr>
          <w:sz w:val="20"/>
          <w:szCs w:val="20"/>
        </w:rPr>
      </w:pPr>
      <w:r w:rsidRPr="00374D0B">
        <w:rPr>
          <w:sz w:val="20"/>
          <w:szCs w:val="20"/>
        </w:rPr>
        <w:t>Statement of financial position and its main line item</w:t>
      </w:r>
    </w:p>
    <w:p w:rsidR="00374D0B" w:rsidRPr="00374D0B" w:rsidRDefault="00374D0B" w:rsidP="00D30C7C">
      <w:pPr>
        <w:pStyle w:val="ListParagraph"/>
        <w:numPr>
          <w:ilvl w:val="0"/>
          <w:numId w:val="2"/>
        </w:numPr>
        <w:spacing w:after="100" w:afterAutospacing="1" w:line="240" w:lineRule="auto"/>
        <w:ind w:left="540"/>
        <w:jc w:val="both"/>
        <w:rPr>
          <w:sz w:val="20"/>
          <w:szCs w:val="20"/>
        </w:rPr>
      </w:pPr>
      <w:r w:rsidRPr="00374D0B">
        <w:rPr>
          <w:sz w:val="20"/>
          <w:szCs w:val="20"/>
        </w:rPr>
        <w:t>various component and section in the statement of cash flow</w:t>
      </w:r>
    </w:p>
    <w:p w:rsidR="00374D0B" w:rsidRDefault="00374D0B" w:rsidP="00D30C7C">
      <w:pPr>
        <w:pStyle w:val="ListParagraph"/>
        <w:numPr>
          <w:ilvl w:val="0"/>
          <w:numId w:val="2"/>
        </w:numPr>
        <w:spacing w:after="100" w:afterAutospacing="1" w:line="240" w:lineRule="auto"/>
        <w:ind w:left="540"/>
        <w:jc w:val="both"/>
        <w:rPr>
          <w:sz w:val="20"/>
          <w:szCs w:val="20"/>
        </w:rPr>
      </w:pPr>
      <w:r w:rsidRPr="00374D0B">
        <w:rPr>
          <w:sz w:val="20"/>
          <w:szCs w:val="20"/>
        </w:rPr>
        <w:t>Statement of changes in equity</w:t>
      </w:r>
    </w:p>
    <w:p w:rsidR="00374D0B" w:rsidRDefault="00374D0B" w:rsidP="00EA763B">
      <w:pPr>
        <w:spacing w:after="0" w:line="240" w:lineRule="auto"/>
        <w:jc w:val="both"/>
        <w:rPr>
          <w:rFonts w:ascii="Century Gothic" w:hAnsi="Century Gothic" w:cs="Arial"/>
          <w:b/>
          <w:sz w:val="20"/>
          <w:lang w:val="en-MY"/>
        </w:rPr>
      </w:pPr>
      <w:r w:rsidRPr="00CC4D67">
        <w:rPr>
          <w:rFonts w:ascii="Century Gothic" w:hAnsi="Century Gothic" w:cs="Arial"/>
          <w:b/>
          <w:sz w:val="20"/>
          <w:lang w:val="en-MY"/>
        </w:rPr>
        <w:t>Various techniques/tool used in interpreting financial statement</w:t>
      </w:r>
    </w:p>
    <w:p w:rsidR="00374D0B" w:rsidRPr="00374D0B" w:rsidRDefault="00374D0B" w:rsidP="00D30C7C">
      <w:pPr>
        <w:pStyle w:val="ListParagraph"/>
        <w:numPr>
          <w:ilvl w:val="0"/>
          <w:numId w:val="3"/>
        </w:numPr>
        <w:spacing w:after="100" w:afterAutospacing="1" w:line="240" w:lineRule="auto"/>
        <w:ind w:left="540"/>
        <w:jc w:val="both"/>
        <w:rPr>
          <w:sz w:val="20"/>
          <w:szCs w:val="20"/>
        </w:rPr>
      </w:pPr>
      <w:r w:rsidRPr="00374D0B">
        <w:rPr>
          <w:sz w:val="20"/>
          <w:szCs w:val="20"/>
        </w:rPr>
        <w:t>vertical analysis</w:t>
      </w:r>
    </w:p>
    <w:p w:rsidR="00374D0B" w:rsidRPr="00374D0B" w:rsidRDefault="00374D0B" w:rsidP="00D30C7C">
      <w:pPr>
        <w:pStyle w:val="ListParagraph"/>
        <w:numPr>
          <w:ilvl w:val="0"/>
          <w:numId w:val="3"/>
        </w:numPr>
        <w:spacing w:after="100" w:afterAutospacing="1" w:line="240" w:lineRule="auto"/>
        <w:ind w:left="540"/>
        <w:jc w:val="both"/>
        <w:rPr>
          <w:sz w:val="20"/>
          <w:szCs w:val="20"/>
        </w:rPr>
      </w:pPr>
      <w:r w:rsidRPr="00374D0B">
        <w:rPr>
          <w:sz w:val="20"/>
          <w:szCs w:val="20"/>
        </w:rPr>
        <w:t>horizontal analysis</w:t>
      </w:r>
    </w:p>
    <w:p w:rsidR="00374D0B" w:rsidRDefault="00374D0B" w:rsidP="00D30C7C">
      <w:pPr>
        <w:pStyle w:val="ListParagraph"/>
        <w:numPr>
          <w:ilvl w:val="0"/>
          <w:numId w:val="3"/>
        </w:numPr>
        <w:spacing w:after="100" w:afterAutospacing="1" w:line="240" w:lineRule="auto"/>
        <w:ind w:left="540"/>
        <w:jc w:val="both"/>
        <w:rPr>
          <w:sz w:val="20"/>
          <w:szCs w:val="20"/>
        </w:rPr>
      </w:pPr>
      <w:r w:rsidRPr="00374D0B">
        <w:rPr>
          <w:sz w:val="20"/>
          <w:szCs w:val="20"/>
        </w:rPr>
        <w:t>accounting ratio</w:t>
      </w:r>
    </w:p>
    <w:p w:rsidR="00EA763B" w:rsidRPr="00EA763B" w:rsidRDefault="00EA763B" w:rsidP="00EA763B">
      <w:pPr>
        <w:jc w:val="both"/>
        <w:rPr>
          <w:sz w:val="20"/>
          <w:szCs w:val="20"/>
        </w:rPr>
      </w:pPr>
    </w:p>
    <w:p w:rsidR="00374D0B" w:rsidRDefault="00374D0B" w:rsidP="00EA763B">
      <w:pPr>
        <w:spacing w:after="0" w:line="240" w:lineRule="auto"/>
        <w:jc w:val="both"/>
        <w:rPr>
          <w:rFonts w:ascii="Century Gothic" w:hAnsi="Century Gothic" w:cs="Arial"/>
          <w:b/>
          <w:sz w:val="20"/>
          <w:lang w:val="en-MY"/>
        </w:rPr>
      </w:pPr>
      <w:r w:rsidRPr="000211BE">
        <w:rPr>
          <w:rFonts w:ascii="Century Gothic" w:hAnsi="Century Gothic" w:cs="Arial"/>
          <w:b/>
          <w:sz w:val="20"/>
          <w:lang w:val="en-MY"/>
        </w:rPr>
        <w:lastRenderedPageBreak/>
        <w:t>Financial ratio analysis for measuring business performance</w:t>
      </w:r>
    </w:p>
    <w:p w:rsidR="00374D0B" w:rsidRPr="00374D0B" w:rsidRDefault="00374D0B" w:rsidP="00D30C7C">
      <w:pPr>
        <w:pStyle w:val="ListParagraph"/>
        <w:numPr>
          <w:ilvl w:val="0"/>
          <w:numId w:val="4"/>
        </w:numPr>
        <w:spacing w:after="100" w:afterAutospacing="1" w:line="240" w:lineRule="auto"/>
        <w:ind w:left="630"/>
        <w:jc w:val="both"/>
        <w:rPr>
          <w:sz w:val="20"/>
          <w:szCs w:val="20"/>
        </w:rPr>
      </w:pPr>
      <w:r w:rsidRPr="00374D0B">
        <w:rPr>
          <w:sz w:val="20"/>
          <w:szCs w:val="20"/>
        </w:rPr>
        <w:t>performance ratio</w:t>
      </w:r>
    </w:p>
    <w:p w:rsidR="00374D0B" w:rsidRPr="00374D0B" w:rsidRDefault="00374D0B" w:rsidP="00D30C7C">
      <w:pPr>
        <w:pStyle w:val="ListParagraph"/>
        <w:numPr>
          <w:ilvl w:val="0"/>
          <w:numId w:val="4"/>
        </w:numPr>
        <w:spacing w:after="100" w:afterAutospacing="1" w:line="240" w:lineRule="auto"/>
        <w:ind w:left="630"/>
        <w:jc w:val="both"/>
        <w:rPr>
          <w:sz w:val="20"/>
          <w:szCs w:val="20"/>
        </w:rPr>
      </w:pPr>
      <w:r w:rsidRPr="00374D0B">
        <w:rPr>
          <w:sz w:val="20"/>
          <w:szCs w:val="20"/>
        </w:rPr>
        <w:t xml:space="preserve">liquidity ratio </w:t>
      </w:r>
    </w:p>
    <w:p w:rsidR="00374D0B" w:rsidRPr="00374D0B" w:rsidRDefault="00374D0B" w:rsidP="00D30C7C">
      <w:pPr>
        <w:pStyle w:val="ListParagraph"/>
        <w:numPr>
          <w:ilvl w:val="0"/>
          <w:numId w:val="4"/>
        </w:numPr>
        <w:spacing w:after="100" w:afterAutospacing="1" w:line="240" w:lineRule="auto"/>
        <w:ind w:left="630"/>
        <w:jc w:val="both"/>
        <w:rPr>
          <w:sz w:val="20"/>
          <w:szCs w:val="20"/>
        </w:rPr>
      </w:pPr>
      <w:r w:rsidRPr="00374D0B">
        <w:rPr>
          <w:sz w:val="20"/>
          <w:szCs w:val="20"/>
        </w:rPr>
        <w:t>activity ratio</w:t>
      </w:r>
    </w:p>
    <w:p w:rsidR="00374D0B" w:rsidRPr="00374D0B" w:rsidRDefault="00374D0B" w:rsidP="00D30C7C">
      <w:pPr>
        <w:pStyle w:val="ListParagraph"/>
        <w:numPr>
          <w:ilvl w:val="0"/>
          <w:numId w:val="4"/>
        </w:numPr>
        <w:spacing w:after="100" w:afterAutospacing="1" w:line="240" w:lineRule="auto"/>
        <w:ind w:left="630"/>
        <w:jc w:val="both"/>
        <w:rPr>
          <w:sz w:val="20"/>
          <w:szCs w:val="20"/>
        </w:rPr>
      </w:pPr>
      <w:r w:rsidRPr="00374D0B">
        <w:rPr>
          <w:sz w:val="20"/>
          <w:szCs w:val="20"/>
        </w:rPr>
        <w:t>leverage ratio</w:t>
      </w:r>
    </w:p>
    <w:p w:rsidR="00374D0B" w:rsidRPr="00374D0B" w:rsidRDefault="00374D0B" w:rsidP="00D30C7C">
      <w:pPr>
        <w:pStyle w:val="ListParagraph"/>
        <w:numPr>
          <w:ilvl w:val="0"/>
          <w:numId w:val="4"/>
        </w:numPr>
        <w:spacing w:after="100" w:afterAutospacing="1" w:line="240" w:lineRule="auto"/>
        <w:ind w:left="630"/>
        <w:jc w:val="both"/>
        <w:rPr>
          <w:sz w:val="20"/>
          <w:szCs w:val="20"/>
        </w:rPr>
      </w:pPr>
      <w:r w:rsidRPr="00374D0B">
        <w:rPr>
          <w:sz w:val="20"/>
          <w:szCs w:val="20"/>
        </w:rPr>
        <w:t>investment ratio</w:t>
      </w:r>
    </w:p>
    <w:p w:rsidR="00374D0B" w:rsidRPr="00374D0B" w:rsidRDefault="00374D0B" w:rsidP="00D30C7C">
      <w:pPr>
        <w:pStyle w:val="ListParagraph"/>
        <w:numPr>
          <w:ilvl w:val="0"/>
          <w:numId w:val="4"/>
        </w:numPr>
        <w:spacing w:after="100" w:afterAutospacing="1" w:line="240" w:lineRule="auto"/>
        <w:ind w:left="630"/>
        <w:jc w:val="both"/>
        <w:rPr>
          <w:sz w:val="20"/>
          <w:szCs w:val="20"/>
        </w:rPr>
      </w:pPr>
      <w:r w:rsidRPr="00374D0B">
        <w:rPr>
          <w:sz w:val="20"/>
          <w:szCs w:val="20"/>
        </w:rPr>
        <w:t>Residual income</w:t>
      </w:r>
    </w:p>
    <w:p w:rsidR="00374D0B" w:rsidRPr="00374D0B" w:rsidRDefault="00374D0B" w:rsidP="00D30C7C">
      <w:pPr>
        <w:pStyle w:val="ListParagraph"/>
        <w:numPr>
          <w:ilvl w:val="0"/>
          <w:numId w:val="4"/>
        </w:numPr>
        <w:spacing w:after="100" w:afterAutospacing="1" w:line="240" w:lineRule="auto"/>
        <w:ind w:left="630"/>
        <w:jc w:val="both"/>
        <w:rPr>
          <w:sz w:val="20"/>
          <w:szCs w:val="20"/>
        </w:rPr>
      </w:pPr>
      <w:r w:rsidRPr="00374D0B">
        <w:rPr>
          <w:sz w:val="20"/>
          <w:szCs w:val="20"/>
        </w:rPr>
        <w:t>economic earnings</w:t>
      </w:r>
    </w:p>
    <w:p w:rsidR="00374D0B" w:rsidRDefault="00374D0B" w:rsidP="00D30C7C">
      <w:pPr>
        <w:pStyle w:val="ListParagraph"/>
        <w:numPr>
          <w:ilvl w:val="0"/>
          <w:numId w:val="4"/>
        </w:numPr>
        <w:spacing w:after="100" w:afterAutospacing="1" w:line="240" w:lineRule="auto"/>
        <w:ind w:left="630"/>
        <w:jc w:val="both"/>
        <w:rPr>
          <w:sz w:val="20"/>
          <w:szCs w:val="20"/>
        </w:rPr>
      </w:pPr>
      <w:r w:rsidRPr="00374D0B">
        <w:rPr>
          <w:sz w:val="20"/>
          <w:szCs w:val="20"/>
        </w:rPr>
        <w:t>common business problem</w:t>
      </w:r>
    </w:p>
    <w:p w:rsidR="00FE2F55" w:rsidRPr="00CC4D67" w:rsidRDefault="00FE2F55" w:rsidP="00EA763B">
      <w:pPr>
        <w:spacing w:after="0" w:line="240" w:lineRule="auto"/>
        <w:ind w:left="164" w:right="164"/>
        <w:jc w:val="both"/>
        <w:rPr>
          <w:rFonts w:ascii="Century Gothic" w:hAnsi="Century Gothic" w:cs="Arial"/>
          <w:b/>
          <w:sz w:val="20"/>
          <w:lang w:val="en-MY"/>
        </w:rPr>
      </w:pPr>
      <w:r w:rsidRPr="00CC4D67">
        <w:rPr>
          <w:rFonts w:ascii="Century Gothic" w:hAnsi="Century Gothic" w:cs="Arial"/>
          <w:b/>
          <w:sz w:val="20"/>
          <w:lang w:val="en-MY"/>
        </w:rPr>
        <w:t>cash flow management and analysis</w:t>
      </w:r>
    </w:p>
    <w:p w:rsidR="00FE2F55" w:rsidRPr="00FE2F55" w:rsidRDefault="00FE2F55" w:rsidP="00D30C7C">
      <w:pPr>
        <w:pStyle w:val="ListParagraph"/>
        <w:numPr>
          <w:ilvl w:val="0"/>
          <w:numId w:val="5"/>
        </w:numPr>
        <w:spacing w:after="100" w:afterAutospacing="1" w:line="240" w:lineRule="auto"/>
        <w:ind w:left="630"/>
        <w:jc w:val="both"/>
        <w:rPr>
          <w:sz w:val="20"/>
          <w:szCs w:val="20"/>
        </w:rPr>
      </w:pPr>
      <w:r w:rsidRPr="00FE2F55">
        <w:rPr>
          <w:sz w:val="20"/>
          <w:szCs w:val="20"/>
        </w:rPr>
        <w:t>cash vs. profit</w:t>
      </w:r>
    </w:p>
    <w:p w:rsidR="00FE2F55" w:rsidRPr="00FE2F55" w:rsidRDefault="00FE2F55" w:rsidP="00D30C7C">
      <w:pPr>
        <w:pStyle w:val="ListParagraph"/>
        <w:numPr>
          <w:ilvl w:val="0"/>
          <w:numId w:val="5"/>
        </w:numPr>
        <w:spacing w:after="100" w:afterAutospacing="1" w:line="240" w:lineRule="auto"/>
        <w:ind w:left="630"/>
        <w:jc w:val="both"/>
        <w:rPr>
          <w:sz w:val="20"/>
          <w:szCs w:val="20"/>
        </w:rPr>
      </w:pPr>
      <w:r w:rsidRPr="00FE2F55">
        <w:rPr>
          <w:sz w:val="20"/>
          <w:szCs w:val="20"/>
        </w:rPr>
        <w:t>cash derived from operating, investment and financing activities</w:t>
      </w:r>
    </w:p>
    <w:p w:rsidR="00FE2F55" w:rsidRPr="00FE2F55" w:rsidRDefault="00FE2F55" w:rsidP="00D30C7C">
      <w:pPr>
        <w:pStyle w:val="ListParagraph"/>
        <w:numPr>
          <w:ilvl w:val="0"/>
          <w:numId w:val="5"/>
        </w:numPr>
        <w:spacing w:after="100" w:afterAutospacing="1" w:line="240" w:lineRule="auto"/>
        <w:ind w:left="630"/>
        <w:jc w:val="both"/>
        <w:rPr>
          <w:sz w:val="20"/>
          <w:szCs w:val="20"/>
        </w:rPr>
      </w:pPr>
      <w:r w:rsidRPr="00FE2F55">
        <w:rPr>
          <w:sz w:val="20"/>
          <w:szCs w:val="20"/>
        </w:rPr>
        <w:t>how to determine free cash flow</w:t>
      </w:r>
    </w:p>
    <w:p w:rsidR="00FE2F55" w:rsidRPr="00FE2F55" w:rsidRDefault="00FE2F55" w:rsidP="00D30C7C">
      <w:pPr>
        <w:pStyle w:val="ListParagraph"/>
        <w:numPr>
          <w:ilvl w:val="0"/>
          <w:numId w:val="5"/>
        </w:numPr>
        <w:spacing w:after="100" w:afterAutospacing="1" w:line="240" w:lineRule="auto"/>
        <w:ind w:left="630"/>
        <w:jc w:val="both"/>
        <w:rPr>
          <w:sz w:val="20"/>
          <w:szCs w:val="20"/>
        </w:rPr>
      </w:pPr>
      <w:r w:rsidRPr="00FE2F55">
        <w:rPr>
          <w:sz w:val="20"/>
          <w:szCs w:val="20"/>
        </w:rPr>
        <w:t>how to determine cost of capital derive from equity and debt</w:t>
      </w:r>
    </w:p>
    <w:p w:rsidR="00FE2F55" w:rsidRDefault="00FE2F55" w:rsidP="00D30C7C">
      <w:pPr>
        <w:pStyle w:val="ListParagraph"/>
        <w:numPr>
          <w:ilvl w:val="0"/>
          <w:numId w:val="5"/>
        </w:numPr>
        <w:spacing w:after="100" w:afterAutospacing="1" w:line="240" w:lineRule="auto"/>
        <w:ind w:left="630"/>
        <w:jc w:val="both"/>
        <w:rPr>
          <w:sz w:val="20"/>
          <w:szCs w:val="20"/>
        </w:rPr>
      </w:pPr>
      <w:r w:rsidRPr="00FE2F55">
        <w:rPr>
          <w:sz w:val="20"/>
          <w:szCs w:val="20"/>
        </w:rPr>
        <w:t>Weighted average cost of capital</w:t>
      </w:r>
    </w:p>
    <w:p w:rsidR="00FE2F55" w:rsidRDefault="00CC6CFD" w:rsidP="00FE2F55">
      <w:pPr>
        <w:jc w:val="both"/>
        <w:rPr>
          <w:sz w:val="20"/>
          <w:szCs w:val="20"/>
        </w:rPr>
      </w:pPr>
      <w:r>
        <w:rPr>
          <w:noProof/>
          <w:sz w:val="20"/>
          <w:szCs w:val="20"/>
        </w:rPr>
        <w:pict>
          <v:roundrect id="_x0000_s1038" style="position:absolute;left:0;text-align:left;margin-left:-7pt;margin-top:2.85pt;width:150.55pt;height:23.4pt;z-index:-251646976" arcsize="10923f">
            <v:shadow on="t" offset="3pt" offset2="2pt"/>
            <v:textbox>
              <w:txbxContent>
                <w:p w:rsidR="00FE2F55" w:rsidRPr="001034F5" w:rsidRDefault="00FE2F55" w:rsidP="00FE2F55">
                  <w:pPr>
                    <w:rPr>
                      <w:sz w:val="20"/>
                    </w:rPr>
                  </w:pPr>
                  <w:r>
                    <w:rPr>
                      <w:sz w:val="20"/>
                    </w:rPr>
                    <w:t>TARGET AUDIENCE</w:t>
                  </w:r>
                </w:p>
              </w:txbxContent>
            </v:textbox>
          </v:roundrect>
        </w:pict>
      </w:r>
    </w:p>
    <w:p w:rsidR="000230E8" w:rsidRDefault="000230E8" w:rsidP="000230E8">
      <w:pPr>
        <w:spacing w:after="0" w:line="240" w:lineRule="auto"/>
        <w:jc w:val="both"/>
        <w:rPr>
          <w:sz w:val="20"/>
          <w:szCs w:val="20"/>
        </w:rPr>
      </w:pPr>
    </w:p>
    <w:p w:rsidR="00FE2F55" w:rsidRDefault="00FE2F55" w:rsidP="00EA763B">
      <w:pPr>
        <w:spacing w:after="0" w:line="240" w:lineRule="auto"/>
        <w:jc w:val="both"/>
        <w:rPr>
          <w:sz w:val="20"/>
          <w:szCs w:val="20"/>
        </w:rPr>
      </w:pPr>
      <w:r w:rsidRPr="00FE2F55">
        <w:rPr>
          <w:sz w:val="20"/>
          <w:szCs w:val="20"/>
        </w:rPr>
        <w:t>Managers involved in decision making, business and corporate planner, general manager, Chief Executive Officers, Directors, Legal officers, product executives, marketing personnel and other non-finance executives and managers.</w:t>
      </w:r>
    </w:p>
    <w:p w:rsidR="00102AC5" w:rsidRDefault="00CC6CFD" w:rsidP="00EA763B">
      <w:pPr>
        <w:spacing w:after="0" w:line="240" w:lineRule="auto"/>
        <w:jc w:val="both"/>
        <w:rPr>
          <w:sz w:val="20"/>
          <w:szCs w:val="20"/>
        </w:rPr>
      </w:pPr>
      <w:r>
        <w:rPr>
          <w:noProof/>
          <w:sz w:val="20"/>
          <w:szCs w:val="20"/>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48" type="#_x0000_t176" style="position:absolute;left:0;text-align:left;margin-left:150.3pt;margin-top:10.75pt;width:90.45pt;height:23.4pt;z-index:251678720" fillcolor="#fabf8f [1945]" strokecolor="#fabf8f [1945]" strokeweight="1pt">
            <v:fill color2="#fde9d9 [665]" angle="-45" focus="-50%" type="gradient"/>
            <v:shadow on="t" type="perspective" color="#974706 [1609]" opacity=".5" offset="1pt" offset2="-3pt"/>
            <v:textbox style="mso-next-textbox:#_x0000_s1048">
              <w:txbxContent>
                <w:p w:rsidR="009D7515" w:rsidRPr="00455A2A" w:rsidRDefault="009D7515" w:rsidP="009D7515">
                  <w:pPr>
                    <w:jc w:val="center"/>
                    <w:rPr>
                      <w:rFonts w:ascii="Century Gothic" w:hAnsi="Century Gothic"/>
                      <w:b/>
                      <w:color w:val="595959" w:themeColor="text1" w:themeTint="A6"/>
                    </w:rPr>
                  </w:pPr>
                  <w:r w:rsidRPr="00455A2A">
                    <w:rPr>
                      <w:rFonts w:ascii="Century Gothic" w:hAnsi="Century Gothic"/>
                      <w:b/>
                      <w:color w:val="595959" w:themeColor="text1" w:themeTint="A6"/>
                    </w:rPr>
                    <w:t>8 CEP POINTS</w:t>
                  </w:r>
                </w:p>
              </w:txbxContent>
            </v:textbox>
          </v:shape>
        </w:pict>
      </w:r>
      <w:r>
        <w:rPr>
          <w:noProof/>
          <w:sz w:val="20"/>
          <w:szCs w:val="20"/>
        </w:rPr>
        <w:pict>
          <v:roundrect id="_x0000_s1039" style="position:absolute;left:0;text-align:left;margin-left:-7pt;margin-top:11.5pt;width:150.55pt;height:23.4pt;z-index:-251645952" arcsize="10923f">
            <v:shadow on="t" offset="3pt" offset2="2pt"/>
            <v:textbox style="mso-next-textbox:#_x0000_s1039">
              <w:txbxContent>
                <w:p w:rsidR="00102AC5" w:rsidRPr="001034F5" w:rsidRDefault="00102AC5" w:rsidP="00102AC5">
                  <w:pPr>
                    <w:rPr>
                      <w:sz w:val="20"/>
                    </w:rPr>
                  </w:pPr>
                  <w:r>
                    <w:rPr>
                      <w:sz w:val="20"/>
                    </w:rPr>
                    <w:t>ADMINISTRATIVE DETAILS</w:t>
                  </w:r>
                </w:p>
              </w:txbxContent>
            </v:textbox>
          </v:roundrect>
        </w:pict>
      </w:r>
    </w:p>
    <w:p w:rsidR="00EA763B" w:rsidRDefault="00EA763B" w:rsidP="00374D0B">
      <w:pPr>
        <w:jc w:val="both"/>
        <w:rPr>
          <w:sz w:val="20"/>
          <w:szCs w:val="20"/>
        </w:rPr>
      </w:pPr>
    </w:p>
    <w:p w:rsidR="00EA763B" w:rsidRDefault="00EA763B" w:rsidP="00EA763B">
      <w:pPr>
        <w:spacing w:after="0" w:line="240" w:lineRule="auto"/>
        <w:jc w:val="both"/>
        <w:rPr>
          <w:sz w:val="20"/>
          <w:szCs w:val="20"/>
        </w:rPr>
      </w:pPr>
    </w:p>
    <w:tbl>
      <w:tblPr>
        <w:tblStyle w:val="TableGrid"/>
        <w:tblW w:w="4786" w:type="dxa"/>
        <w:tblInd w:w="113" w:type="dxa"/>
        <w:tblLook w:val="04A0"/>
      </w:tblPr>
      <w:tblGrid>
        <w:gridCol w:w="1512"/>
        <w:gridCol w:w="297"/>
        <w:gridCol w:w="2977"/>
      </w:tblGrid>
      <w:tr w:rsidR="008D444E" w:rsidTr="00ED48FD">
        <w:trPr>
          <w:trHeight w:val="340"/>
        </w:trPr>
        <w:tc>
          <w:tcPr>
            <w:tcW w:w="1512" w:type="dxa"/>
            <w:vAlign w:val="center"/>
          </w:tcPr>
          <w:p w:rsidR="008D444E" w:rsidRDefault="008D444E" w:rsidP="00D40625">
            <w:pPr>
              <w:rPr>
                <w:sz w:val="20"/>
                <w:szCs w:val="20"/>
              </w:rPr>
            </w:pPr>
            <w:r>
              <w:rPr>
                <w:sz w:val="20"/>
                <w:szCs w:val="20"/>
              </w:rPr>
              <w:t>DATE</w:t>
            </w:r>
          </w:p>
        </w:tc>
        <w:tc>
          <w:tcPr>
            <w:tcW w:w="297" w:type="dxa"/>
            <w:vAlign w:val="center"/>
          </w:tcPr>
          <w:p w:rsidR="008D444E" w:rsidRDefault="008D444E" w:rsidP="00D40625">
            <w:pPr>
              <w:rPr>
                <w:sz w:val="20"/>
                <w:szCs w:val="20"/>
              </w:rPr>
            </w:pPr>
            <w:r>
              <w:rPr>
                <w:sz w:val="20"/>
                <w:szCs w:val="20"/>
              </w:rPr>
              <w:t>:</w:t>
            </w:r>
          </w:p>
        </w:tc>
        <w:tc>
          <w:tcPr>
            <w:tcW w:w="2977" w:type="dxa"/>
            <w:vAlign w:val="center"/>
          </w:tcPr>
          <w:p w:rsidR="008D444E" w:rsidRDefault="0092057A" w:rsidP="00DE5B95">
            <w:pPr>
              <w:rPr>
                <w:sz w:val="20"/>
                <w:szCs w:val="20"/>
              </w:rPr>
            </w:pPr>
            <w:r>
              <w:rPr>
                <w:sz w:val="20"/>
                <w:szCs w:val="20"/>
              </w:rPr>
              <w:t>13</w:t>
            </w:r>
            <w:r w:rsidRPr="0092057A">
              <w:rPr>
                <w:sz w:val="20"/>
                <w:szCs w:val="20"/>
                <w:vertAlign w:val="superscript"/>
              </w:rPr>
              <w:t>th</w:t>
            </w:r>
            <w:r>
              <w:rPr>
                <w:sz w:val="20"/>
                <w:szCs w:val="20"/>
              </w:rPr>
              <w:t xml:space="preserve"> Jan / 21</w:t>
            </w:r>
            <w:r w:rsidRPr="0092057A">
              <w:rPr>
                <w:sz w:val="20"/>
                <w:szCs w:val="20"/>
                <w:vertAlign w:val="superscript"/>
              </w:rPr>
              <w:t>st</w:t>
            </w:r>
            <w:r>
              <w:rPr>
                <w:sz w:val="20"/>
                <w:szCs w:val="20"/>
              </w:rPr>
              <w:t xml:space="preserve"> Apr 2017</w:t>
            </w:r>
          </w:p>
        </w:tc>
      </w:tr>
      <w:tr w:rsidR="008D444E" w:rsidTr="00ED48FD">
        <w:trPr>
          <w:trHeight w:val="340"/>
        </w:trPr>
        <w:tc>
          <w:tcPr>
            <w:tcW w:w="1512" w:type="dxa"/>
            <w:vAlign w:val="center"/>
          </w:tcPr>
          <w:p w:rsidR="008D444E" w:rsidRDefault="008D444E" w:rsidP="00D40625">
            <w:pPr>
              <w:rPr>
                <w:sz w:val="20"/>
                <w:szCs w:val="20"/>
              </w:rPr>
            </w:pPr>
            <w:r>
              <w:rPr>
                <w:sz w:val="20"/>
                <w:szCs w:val="20"/>
              </w:rPr>
              <w:t>DURATION</w:t>
            </w:r>
          </w:p>
        </w:tc>
        <w:tc>
          <w:tcPr>
            <w:tcW w:w="297" w:type="dxa"/>
            <w:vAlign w:val="center"/>
          </w:tcPr>
          <w:p w:rsidR="008D444E" w:rsidRDefault="008D444E" w:rsidP="00D40625">
            <w:pPr>
              <w:rPr>
                <w:sz w:val="20"/>
                <w:szCs w:val="20"/>
              </w:rPr>
            </w:pPr>
            <w:r>
              <w:rPr>
                <w:sz w:val="20"/>
                <w:szCs w:val="20"/>
              </w:rPr>
              <w:t>:</w:t>
            </w:r>
          </w:p>
        </w:tc>
        <w:tc>
          <w:tcPr>
            <w:tcW w:w="2977" w:type="dxa"/>
            <w:vAlign w:val="center"/>
          </w:tcPr>
          <w:p w:rsidR="008D444E" w:rsidRDefault="008D444E" w:rsidP="00D40625">
            <w:pPr>
              <w:rPr>
                <w:sz w:val="20"/>
                <w:szCs w:val="20"/>
              </w:rPr>
            </w:pPr>
            <w:r>
              <w:rPr>
                <w:sz w:val="20"/>
                <w:szCs w:val="20"/>
              </w:rPr>
              <w:t>01 DAY (0900</w:t>
            </w:r>
            <w:r w:rsidR="001234C6">
              <w:rPr>
                <w:sz w:val="20"/>
                <w:szCs w:val="20"/>
              </w:rPr>
              <w:t xml:space="preserve"> </w:t>
            </w:r>
            <w:r>
              <w:rPr>
                <w:sz w:val="20"/>
                <w:szCs w:val="20"/>
              </w:rPr>
              <w:t>-</w:t>
            </w:r>
            <w:r w:rsidR="001234C6">
              <w:rPr>
                <w:sz w:val="20"/>
                <w:szCs w:val="20"/>
              </w:rPr>
              <w:t xml:space="preserve"> </w:t>
            </w:r>
            <w:r>
              <w:rPr>
                <w:sz w:val="20"/>
                <w:szCs w:val="20"/>
              </w:rPr>
              <w:t>1700</w:t>
            </w:r>
            <w:r w:rsidR="001234C6">
              <w:rPr>
                <w:sz w:val="20"/>
                <w:szCs w:val="20"/>
              </w:rPr>
              <w:t xml:space="preserve"> hours</w:t>
            </w:r>
            <w:r>
              <w:rPr>
                <w:sz w:val="20"/>
                <w:szCs w:val="20"/>
              </w:rPr>
              <w:t>)</w:t>
            </w:r>
          </w:p>
        </w:tc>
      </w:tr>
      <w:tr w:rsidR="008D444E" w:rsidTr="00ED48FD">
        <w:trPr>
          <w:trHeight w:val="340"/>
        </w:trPr>
        <w:tc>
          <w:tcPr>
            <w:tcW w:w="1512" w:type="dxa"/>
            <w:vAlign w:val="center"/>
          </w:tcPr>
          <w:p w:rsidR="008D444E" w:rsidRDefault="008D444E" w:rsidP="00D40625">
            <w:pPr>
              <w:rPr>
                <w:sz w:val="20"/>
                <w:szCs w:val="20"/>
              </w:rPr>
            </w:pPr>
            <w:r>
              <w:rPr>
                <w:sz w:val="20"/>
                <w:szCs w:val="20"/>
              </w:rPr>
              <w:t>VENUE</w:t>
            </w:r>
          </w:p>
        </w:tc>
        <w:tc>
          <w:tcPr>
            <w:tcW w:w="297" w:type="dxa"/>
            <w:vAlign w:val="center"/>
          </w:tcPr>
          <w:p w:rsidR="008D444E" w:rsidRDefault="008D444E" w:rsidP="00D40625">
            <w:pPr>
              <w:rPr>
                <w:sz w:val="20"/>
                <w:szCs w:val="20"/>
              </w:rPr>
            </w:pPr>
            <w:r>
              <w:rPr>
                <w:sz w:val="20"/>
                <w:szCs w:val="20"/>
              </w:rPr>
              <w:t>:</w:t>
            </w:r>
          </w:p>
        </w:tc>
        <w:tc>
          <w:tcPr>
            <w:tcW w:w="2977" w:type="dxa"/>
            <w:vAlign w:val="center"/>
          </w:tcPr>
          <w:p w:rsidR="008D444E" w:rsidRDefault="001234C6" w:rsidP="00D40625">
            <w:pPr>
              <w:rPr>
                <w:sz w:val="20"/>
                <w:szCs w:val="20"/>
              </w:rPr>
            </w:pPr>
            <w:r>
              <w:rPr>
                <w:sz w:val="20"/>
                <w:szCs w:val="20"/>
              </w:rPr>
              <w:t>Hilton Petaling Jaya</w:t>
            </w:r>
          </w:p>
        </w:tc>
      </w:tr>
      <w:tr w:rsidR="008D444E" w:rsidTr="00ED48FD">
        <w:trPr>
          <w:trHeight w:val="340"/>
        </w:trPr>
        <w:tc>
          <w:tcPr>
            <w:tcW w:w="1512" w:type="dxa"/>
            <w:vAlign w:val="center"/>
          </w:tcPr>
          <w:p w:rsidR="008D444E" w:rsidRDefault="008D444E" w:rsidP="00D40625">
            <w:pPr>
              <w:rPr>
                <w:sz w:val="20"/>
                <w:szCs w:val="20"/>
              </w:rPr>
            </w:pPr>
            <w:r>
              <w:rPr>
                <w:sz w:val="20"/>
                <w:szCs w:val="20"/>
              </w:rPr>
              <w:t>FEE</w:t>
            </w:r>
          </w:p>
        </w:tc>
        <w:tc>
          <w:tcPr>
            <w:tcW w:w="297" w:type="dxa"/>
            <w:vAlign w:val="center"/>
          </w:tcPr>
          <w:p w:rsidR="008D444E" w:rsidRDefault="008D444E" w:rsidP="00D40625">
            <w:pPr>
              <w:rPr>
                <w:sz w:val="20"/>
                <w:szCs w:val="20"/>
              </w:rPr>
            </w:pPr>
            <w:r>
              <w:rPr>
                <w:sz w:val="20"/>
                <w:szCs w:val="20"/>
              </w:rPr>
              <w:t>:</w:t>
            </w:r>
          </w:p>
        </w:tc>
        <w:tc>
          <w:tcPr>
            <w:tcW w:w="2977" w:type="dxa"/>
            <w:vAlign w:val="center"/>
          </w:tcPr>
          <w:p w:rsidR="008D444E" w:rsidRDefault="008D444E" w:rsidP="00C148C2">
            <w:pPr>
              <w:rPr>
                <w:sz w:val="20"/>
                <w:szCs w:val="20"/>
              </w:rPr>
            </w:pPr>
            <w:r w:rsidRPr="008D444E">
              <w:rPr>
                <w:sz w:val="20"/>
                <w:szCs w:val="20"/>
              </w:rPr>
              <w:t>RM</w:t>
            </w:r>
            <w:r w:rsidR="00537C12">
              <w:rPr>
                <w:sz w:val="20"/>
                <w:szCs w:val="20"/>
              </w:rPr>
              <w:t>1,06</w:t>
            </w:r>
            <w:r w:rsidR="00C148C2">
              <w:rPr>
                <w:sz w:val="20"/>
                <w:szCs w:val="20"/>
              </w:rPr>
              <w:t>0</w:t>
            </w:r>
            <w:r w:rsidRPr="008D444E">
              <w:rPr>
                <w:sz w:val="20"/>
                <w:szCs w:val="20"/>
              </w:rPr>
              <w:t xml:space="preserve">.00 per person (Fee is </w:t>
            </w:r>
            <w:r w:rsidR="00537C12">
              <w:rPr>
                <w:sz w:val="20"/>
                <w:szCs w:val="20"/>
              </w:rPr>
              <w:t>in</w:t>
            </w:r>
            <w:r w:rsidRPr="008D444E">
              <w:rPr>
                <w:sz w:val="20"/>
                <w:szCs w:val="20"/>
              </w:rPr>
              <w:t>clusive of 6% GST)</w:t>
            </w:r>
          </w:p>
        </w:tc>
      </w:tr>
      <w:tr w:rsidR="008D444E" w:rsidTr="00ED48FD">
        <w:trPr>
          <w:trHeight w:val="340"/>
        </w:trPr>
        <w:tc>
          <w:tcPr>
            <w:tcW w:w="1512" w:type="dxa"/>
            <w:vAlign w:val="center"/>
          </w:tcPr>
          <w:p w:rsidR="008D444E" w:rsidRDefault="008D444E" w:rsidP="00D40625">
            <w:pPr>
              <w:rPr>
                <w:sz w:val="20"/>
                <w:szCs w:val="20"/>
              </w:rPr>
            </w:pPr>
            <w:r>
              <w:rPr>
                <w:sz w:val="20"/>
                <w:szCs w:val="20"/>
              </w:rPr>
              <w:t>PAYMENT</w:t>
            </w:r>
          </w:p>
        </w:tc>
        <w:tc>
          <w:tcPr>
            <w:tcW w:w="297" w:type="dxa"/>
            <w:vAlign w:val="center"/>
          </w:tcPr>
          <w:p w:rsidR="008D444E" w:rsidRDefault="008D444E" w:rsidP="00D40625">
            <w:pPr>
              <w:rPr>
                <w:sz w:val="20"/>
                <w:szCs w:val="20"/>
              </w:rPr>
            </w:pPr>
            <w:r>
              <w:rPr>
                <w:sz w:val="20"/>
                <w:szCs w:val="20"/>
              </w:rPr>
              <w:t>:</w:t>
            </w:r>
          </w:p>
        </w:tc>
        <w:tc>
          <w:tcPr>
            <w:tcW w:w="2977" w:type="dxa"/>
            <w:vAlign w:val="center"/>
          </w:tcPr>
          <w:p w:rsidR="008D444E" w:rsidRPr="008D444E" w:rsidRDefault="008D444E" w:rsidP="00D40625">
            <w:pPr>
              <w:rPr>
                <w:sz w:val="20"/>
                <w:szCs w:val="20"/>
              </w:rPr>
            </w:pPr>
            <w:r w:rsidRPr="008D444E">
              <w:rPr>
                <w:sz w:val="20"/>
                <w:szCs w:val="20"/>
              </w:rPr>
              <w:t>Cheque is to be made payable to BURSATRA SDN. BHD.</w:t>
            </w:r>
          </w:p>
        </w:tc>
      </w:tr>
    </w:tbl>
    <w:p w:rsidR="00102AC5" w:rsidRDefault="00CC6CFD" w:rsidP="00374D0B">
      <w:pPr>
        <w:jc w:val="both"/>
        <w:rPr>
          <w:sz w:val="20"/>
          <w:szCs w:val="20"/>
        </w:rPr>
      </w:pPr>
      <w:r>
        <w:rPr>
          <w:noProof/>
          <w:sz w:val="20"/>
          <w:szCs w:val="2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46" type="#_x0000_t185" style="position:absolute;left:0;text-align:left;margin-left:0;margin-top:14.3pt;width:243pt;height:75.05pt;z-index:-251638784;mso-position-horizontal-relative:text;mso-position-vertical-relative:text" filled="t" fillcolor="#ffb9b9">
            <v:fill opacity="29491f"/>
            <v:textbox>
              <w:txbxContent>
                <w:p w:rsidR="00EA763B" w:rsidRPr="00EA763B" w:rsidRDefault="00EA763B" w:rsidP="009D7515">
                  <w:pPr>
                    <w:spacing w:after="0" w:line="240" w:lineRule="auto"/>
                    <w:jc w:val="both"/>
                    <w:rPr>
                      <w:i/>
                      <w:sz w:val="20"/>
                      <w:szCs w:val="20"/>
                    </w:rPr>
                  </w:pPr>
                  <w:r w:rsidRPr="00EA763B">
                    <w:rPr>
                      <w:i/>
                      <w:sz w:val="20"/>
                      <w:szCs w:val="20"/>
                    </w:rPr>
                    <w:t>Postponement / Cancellation within seven (07) working days prior to the event are subject to a cancellation / postponement fee of 20%. Full amount of the registration fee(s) is chargeable for non-attendance of the participant(s).</w:t>
                  </w:r>
                </w:p>
                <w:p w:rsidR="00EA763B" w:rsidRPr="00EA763B" w:rsidRDefault="00EA763B" w:rsidP="00EA763B">
                  <w:pPr>
                    <w:rPr>
                      <w:sz w:val="20"/>
                      <w:szCs w:val="20"/>
                    </w:rPr>
                  </w:pPr>
                </w:p>
              </w:txbxContent>
            </v:textbox>
          </v:shape>
        </w:pict>
      </w:r>
    </w:p>
    <w:p w:rsidR="008D444E" w:rsidRDefault="008D444E" w:rsidP="00374D0B">
      <w:pPr>
        <w:jc w:val="both"/>
        <w:rPr>
          <w:sz w:val="20"/>
          <w:szCs w:val="20"/>
        </w:rPr>
      </w:pPr>
    </w:p>
    <w:p w:rsidR="008D444E" w:rsidRDefault="008D444E" w:rsidP="00374D0B">
      <w:pPr>
        <w:jc w:val="both"/>
        <w:rPr>
          <w:sz w:val="20"/>
          <w:szCs w:val="20"/>
        </w:rPr>
      </w:pPr>
    </w:p>
    <w:p w:rsidR="008D444E" w:rsidRDefault="008D444E" w:rsidP="00374D0B">
      <w:pPr>
        <w:jc w:val="both"/>
        <w:rPr>
          <w:sz w:val="20"/>
          <w:szCs w:val="20"/>
        </w:rPr>
      </w:pPr>
    </w:p>
    <w:p w:rsidR="00EA763B" w:rsidRDefault="00EA763B" w:rsidP="00374D0B">
      <w:pPr>
        <w:jc w:val="both"/>
        <w:rPr>
          <w:sz w:val="20"/>
          <w:szCs w:val="20"/>
        </w:rPr>
      </w:pPr>
    </w:p>
    <w:p w:rsidR="000230E8" w:rsidRDefault="000230E8" w:rsidP="000230E8">
      <w:pPr>
        <w:jc w:val="both"/>
        <w:rPr>
          <w:sz w:val="20"/>
          <w:szCs w:val="20"/>
        </w:rPr>
        <w:sectPr w:rsidR="000230E8" w:rsidSect="00455A2A">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2" w:sep="1" w:space="720"/>
          <w:titlePg/>
          <w:docGrid w:linePitch="360"/>
        </w:sectPr>
      </w:pPr>
    </w:p>
    <w:p w:rsidR="000230E8" w:rsidRDefault="000230E8" w:rsidP="000230E8">
      <w:pPr>
        <w:jc w:val="both"/>
        <w:rPr>
          <w:sz w:val="20"/>
          <w:szCs w:val="20"/>
        </w:rPr>
      </w:pPr>
    </w:p>
    <w:p w:rsidR="00D30C7C" w:rsidRDefault="00CC6CFD" w:rsidP="000230E8">
      <w:pPr>
        <w:jc w:val="both"/>
        <w:rPr>
          <w:b/>
          <w:sz w:val="20"/>
          <w:szCs w:val="20"/>
        </w:rPr>
      </w:pPr>
      <w:r w:rsidRPr="00CC6CFD">
        <w:rPr>
          <w:noProof/>
          <w:sz w:val="20"/>
          <w:szCs w:val="20"/>
        </w:rPr>
        <w:lastRenderedPageBreak/>
        <w:pict>
          <v:roundrect id="_x0000_s1040" style="position:absolute;left:0;text-align:left;margin-left:-3.6pt;margin-top:11.1pt;width:150.55pt;height:23.4pt;z-index:-251644928" arcsize="10923f">
            <v:shadow on="t" offset="3pt" offset2="2pt"/>
            <v:textbox>
              <w:txbxContent>
                <w:p w:rsidR="000230E8" w:rsidRPr="001034F5" w:rsidRDefault="000230E8" w:rsidP="000230E8">
                  <w:pPr>
                    <w:rPr>
                      <w:sz w:val="20"/>
                    </w:rPr>
                  </w:pPr>
                  <w:r>
                    <w:rPr>
                      <w:sz w:val="20"/>
                    </w:rPr>
                    <w:t>SPEAKER PROFILE</w:t>
                  </w:r>
                </w:p>
              </w:txbxContent>
            </v:textbox>
          </v:roundrect>
        </w:pict>
      </w:r>
    </w:p>
    <w:p w:rsidR="00D30C7C" w:rsidRDefault="00D30C7C" w:rsidP="000230E8">
      <w:pPr>
        <w:jc w:val="both"/>
        <w:rPr>
          <w:b/>
          <w:sz w:val="20"/>
          <w:szCs w:val="20"/>
        </w:rPr>
      </w:pPr>
    </w:p>
    <w:p w:rsidR="00394A2C" w:rsidRDefault="00394A2C" w:rsidP="00394A2C">
      <w:pPr>
        <w:spacing w:after="100" w:afterAutospacing="1" w:line="240" w:lineRule="auto"/>
        <w:contextualSpacing/>
        <w:jc w:val="both"/>
        <w:rPr>
          <w:b/>
          <w:sz w:val="20"/>
          <w:szCs w:val="20"/>
        </w:rPr>
      </w:pPr>
      <w:r>
        <w:rPr>
          <w:b/>
          <w:noProof/>
          <w:sz w:val="20"/>
          <w:szCs w:val="20"/>
        </w:rPr>
        <w:drawing>
          <wp:anchor distT="0" distB="0" distL="114300" distR="114300" simplePos="0" relativeHeight="251680768" behindDoc="0" locked="0" layoutInCell="1" allowOverlap="1">
            <wp:simplePos x="0" y="0"/>
            <wp:positionH relativeFrom="margin">
              <wp:posOffset>-9525</wp:posOffset>
            </wp:positionH>
            <wp:positionV relativeFrom="margin">
              <wp:posOffset>666750</wp:posOffset>
            </wp:positionV>
            <wp:extent cx="1219200" cy="150495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nnentTamFookCheong.jpg"/>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19200" cy="1504950"/>
                    </a:xfrm>
                    <a:prstGeom prst="rect">
                      <a:avLst/>
                    </a:prstGeom>
                  </pic:spPr>
                </pic:pic>
              </a:graphicData>
            </a:graphic>
          </wp:anchor>
        </w:drawing>
      </w:r>
      <w:r w:rsidR="000230E8" w:rsidRPr="000230E8">
        <w:rPr>
          <w:b/>
          <w:sz w:val="20"/>
          <w:szCs w:val="20"/>
        </w:rPr>
        <w:t>MR. TAM FOOK CHEONG</w:t>
      </w:r>
    </w:p>
    <w:p w:rsidR="00394A2C" w:rsidRPr="000230E8" w:rsidRDefault="00394A2C" w:rsidP="00394A2C">
      <w:pPr>
        <w:spacing w:after="100" w:afterAutospacing="1" w:line="240" w:lineRule="auto"/>
        <w:jc w:val="both"/>
        <w:rPr>
          <w:b/>
          <w:sz w:val="20"/>
          <w:szCs w:val="20"/>
        </w:rPr>
      </w:pPr>
      <w:r w:rsidRPr="00394A2C">
        <w:rPr>
          <w:b/>
          <w:sz w:val="20"/>
          <w:szCs w:val="20"/>
        </w:rPr>
        <w:t>FCCA, ACMA, CGMA, MIA</w:t>
      </w:r>
    </w:p>
    <w:p w:rsidR="00394A2C" w:rsidRPr="00394A2C" w:rsidRDefault="00394A2C" w:rsidP="00394A2C">
      <w:pPr>
        <w:jc w:val="both"/>
        <w:rPr>
          <w:sz w:val="20"/>
          <w:szCs w:val="20"/>
        </w:rPr>
      </w:pPr>
      <w:r w:rsidRPr="00394A2C">
        <w:rPr>
          <w:sz w:val="20"/>
          <w:szCs w:val="20"/>
        </w:rPr>
        <w:t>Kenneth Tam is a trainer cum consultant. He has over 30 years of corporate experience in the field of financial management, financial accounting, tax, business planning and budgeting. He had wide, extensive and hand-on  experience in various industries which include oil and gas</w:t>
      </w:r>
      <w:r w:rsidR="00E02553">
        <w:rPr>
          <w:sz w:val="20"/>
          <w:szCs w:val="20"/>
        </w:rPr>
        <w:t xml:space="preserve"> (</w:t>
      </w:r>
      <w:r w:rsidRPr="00394A2C">
        <w:rPr>
          <w:sz w:val="20"/>
          <w:szCs w:val="20"/>
        </w:rPr>
        <w:t xml:space="preserve">upstream and downstream), manufacturing, trading, project management and education.   From 1980 to 2008 he held various managerial positions in a Global oil and gas group of companies, one of the Fortune 500 companies. </w:t>
      </w:r>
      <w:bookmarkStart w:id="0" w:name="_GoBack"/>
      <w:bookmarkEnd w:id="0"/>
    </w:p>
    <w:p w:rsidR="00394A2C" w:rsidRPr="00394A2C" w:rsidRDefault="00394A2C" w:rsidP="00394A2C">
      <w:pPr>
        <w:jc w:val="both"/>
        <w:rPr>
          <w:sz w:val="20"/>
          <w:szCs w:val="20"/>
        </w:rPr>
      </w:pPr>
      <w:r w:rsidRPr="00394A2C">
        <w:rPr>
          <w:sz w:val="20"/>
          <w:szCs w:val="20"/>
        </w:rPr>
        <w:t>Since 2009 he became a full-time learning consultant, he has contributed to the success of many training programmes through result-oriented and energetic training methods.  Kenneth’s training style is refreshing and energetic, relaxing his audience. By providing a practical approach in his presentation, alongside easy-to-use templates, he inspires his audience to take action and produce results. He provides ways on how to transform and enhance existing skills, mental attitudes and mindsets at all levels, to improve individual and corporate performance. This comes as no surprise as Kenneth has been lecturing extensively in various university colleges many years ago in strategic financial management, performance measurement and financial reporting for professional examination boards namely ACCA, MICPA CIMA, and ICSA &amp; ICAA. Currently Kenneth is also a local counsellor in the Finance Module of two MBA learning programmes. As a corporate trainer cum consultant, he has experience in designing, developing and delivering various training programme for both in-house as well as public programmes.</w:t>
      </w:r>
    </w:p>
    <w:p w:rsidR="00394A2C" w:rsidRPr="00394A2C" w:rsidRDefault="00394A2C" w:rsidP="00394A2C">
      <w:pPr>
        <w:jc w:val="both"/>
        <w:rPr>
          <w:sz w:val="20"/>
          <w:szCs w:val="20"/>
        </w:rPr>
      </w:pPr>
      <w:r w:rsidRPr="00394A2C">
        <w:rPr>
          <w:sz w:val="20"/>
          <w:szCs w:val="20"/>
        </w:rPr>
        <w:t>Kenneth Tam is a Fellow member of the Association of Certified Chartered Accountants UK (FCCA), Associate member of the Chartered Institute of Management Accountants UK (ACMA), member of the Charted Global Management Accountant (CGMA), a member of the Malaysian Institute of Account</w:t>
      </w:r>
      <w:r w:rsidR="00C33888">
        <w:rPr>
          <w:sz w:val="20"/>
          <w:szCs w:val="20"/>
        </w:rPr>
        <w:t>ants (MIA). He also obtained a C</w:t>
      </w:r>
      <w:r w:rsidRPr="00394A2C">
        <w:rPr>
          <w:sz w:val="20"/>
          <w:szCs w:val="20"/>
        </w:rPr>
        <w:t xml:space="preserve">ertificate IV in assessment and workplace training from Australia and approved certified trainer from PSMB.     </w:t>
      </w:r>
    </w:p>
    <w:p w:rsidR="008D444E" w:rsidRDefault="00394A2C" w:rsidP="00394A2C">
      <w:pPr>
        <w:jc w:val="both"/>
        <w:rPr>
          <w:sz w:val="20"/>
          <w:szCs w:val="20"/>
        </w:rPr>
      </w:pPr>
      <w:r w:rsidRPr="00394A2C">
        <w:rPr>
          <w:sz w:val="20"/>
          <w:szCs w:val="20"/>
        </w:rPr>
        <w:t>In additional, Kenneth Tam is currently also an Independent Non-Executive Director of a company listed on the main market of Bursa Malaysia.</w:t>
      </w:r>
    </w:p>
    <w:p w:rsidR="008D444E" w:rsidRDefault="008D444E" w:rsidP="00374D0B">
      <w:pPr>
        <w:jc w:val="both"/>
        <w:rPr>
          <w:sz w:val="20"/>
          <w:szCs w:val="20"/>
        </w:rPr>
      </w:pPr>
    </w:p>
    <w:p w:rsidR="001C3709" w:rsidRDefault="001C3709" w:rsidP="00374D0B">
      <w:pPr>
        <w:jc w:val="both"/>
        <w:rPr>
          <w:sz w:val="20"/>
          <w:szCs w:val="20"/>
        </w:rPr>
      </w:pPr>
    </w:p>
    <w:p w:rsidR="001C3709" w:rsidRDefault="001C3709" w:rsidP="00374D0B">
      <w:pPr>
        <w:jc w:val="both"/>
        <w:rPr>
          <w:sz w:val="20"/>
          <w:szCs w:val="20"/>
        </w:rPr>
      </w:pPr>
    </w:p>
    <w:p w:rsidR="001C3709" w:rsidRDefault="001C3709" w:rsidP="00374D0B">
      <w:pPr>
        <w:jc w:val="both"/>
        <w:rPr>
          <w:sz w:val="20"/>
          <w:szCs w:val="20"/>
        </w:rPr>
      </w:pPr>
    </w:p>
    <w:p w:rsidR="00394A2C" w:rsidRDefault="00394A2C" w:rsidP="00374D0B">
      <w:pPr>
        <w:jc w:val="both"/>
        <w:rPr>
          <w:sz w:val="20"/>
          <w:szCs w:val="20"/>
        </w:rPr>
      </w:pPr>
    </w:p>
    <w:p w:rsidR="001C3709" w:rsidRDefault="001C3709" w:rsidP="00374D0B">
      <w:pPr>
        <w:jc w:val="both"/>
        <w:rPr>
          <w:sz w:val="20"/>
          <w:szCs w:val="20"/>
        </w:rPr>
      </w:pPr>
    </w:p>
    <w:p w:rsidR="001C3709" w:rsidRDefault="001C3709" w:rsidP="00374D0B">
      <w:pPr>
        <w:jc w:val="both"/>
        <w:rPr>
          <w:sz w:val="20"/>
          <w:szCs w:val="20"/>
        </w:rPr>
      </w:pPr>
    </w:p>
    <w:p w:rsidR="00394A2C" w:rsidRDefault="00394A2C" w:rsidP="00374D0B">
      <w:pPr>
        <w:jc w:val="both"/>
        <w:rPr>
          <w:sz w:val="20"/>
          <w:szCs w:val="20"/>
        </w:rPr>
      </w:pPr>
    </w:p>
    <w:p w:rsidR="001C3709" w:rsidRPr="004E6547" w:rsidRDefault="001C3709" w:rsidP="001C3709">
      <w:pPr>
        <w:jc w:val="center"/>
        <w:rPr>
          <w:rFonts w:asciiTheme="majorHAnsi" w:hAnsiTheme="majorHAnsi"/>
          <w:sz w:val="28"/>
          <w:szCs w:val="28"/>
          <w:u w:val="single"/>
        </w:rPr>
      </w:pPr>
      <w:r w:rsidRPr="004E6547">
        <w:rPr>
          <w:rFonts w:asciiTheme="majorHAnsi" w:hAnsiTheme="majorHAnsi"/>
          <w:sz w:val="28"/>
          <w:szCs w:val="28"/>
          <w:u w:val="single"/>
        </w:rPr>
        <w:lastRenderedPageBreak/>
        <w:t>REGISTRATION FORM</w:t>
      </w:r>
    </w:p>
    <w:p w:rsidR="001234C6" w:rsidRDefault="001234C6" w:rsidP="001C3709">
      <w:pPr>
        <w:spacing w:after="0" w:line="240" w:lineRule="auto"/>
        <w:jc w:val="center"/>
        <w:rPr>
          <w:sz w:val="24"/>
          <w:szCs w:val="24"/>
        </w:rPr>
      </w:pPr>
      <w:r>
        <w:rPr>
          <w:rFonts w:asciiTheme="majorHAnsi" w:eastAsiaTheme="majorEastAsia" w:hAnsiTheme="majorHAnsi" w:cstheme="majorBidi"/>
          <w:b/>
          <w:bCs/>
          <w:noProof/>
          <w:color w:val="365F91" w:themeColor="accent1" w:themeShade="BF"/>
          <w:sz w:val="36"/>
          <w:szCs w:val="36"/>
        </w:rPr>
        <w:pict>
          <v:group id="_x0000_s1052" style="position:absolute;left:0;text-align:left;margin-left:-12pt;margin-top:-2pt;width:481.25pt;height:46.8pt;z-index:-251634688" coordorigin="1200,2206" coordsize="9625,936">
            <v:rect id="_x0000_s1053" style="position:absolute;left:1200;top:2206;width:212;height:936" fillcolor="#f79646 [3209]" stroked="f">
              <v:shadow on="t"/>
            </v:rect>
            <v:rect id="_x0000_s1054" style="position:absolute;left:1419;top:2206;width:9406;height:936" fillcolor="#dbe5f1 [660]" stroked="f">
              <v:shadow on="t"/>
            </v:rect>
          </v:group>
        </w:pict>
      </w:r>
      <w:r w:rsidR="001C3709" w:rsidRPr="001C3709">
        <w:rPr>
          <w:rFonts w:asciiTheme="majorHAnsi" w:eastAsiaTheme="majorEastAsia" w:hAnsiTheme="majorHAnsi" w:cstheme="majorBidi"/>
          <w:b/>
          <w:bCs/>
          <w:color w:val="365F91" w:themeColor="accent1" w:themeShade="BF"/>
          <w:sz w:val="36"/>
          <w:szCs w:val="36"/>
        </w:rPr>
        <w:t>Comprehending Financial Statements For Directors and Senior Management</w:t>
      </w:r>
      <w:r w:rsidR="001C3709">
        <w:rPr>
          <w:sz w:val="24"/>
          <w:szCs w:val="24"/>
        </w:rPr>
        <w:br/>
      </w:r>
    </w:p>
    <w:p w:rsidR="001C3709" w:rsidRDefault="001234C6" w:rsidP="001C3709">
      <w:pPr>
        <w:spacing w:after="0" w:line="240" w:lineRule="auto"/>
        <w:jc w:val="center"/>
        <w:rPr>
          <w:sz w:val="24"/>
          <w:szCs w:val="24"/>
        </w:rPr>
      </w:pPr>
      <w:r>
        <w:rPr>
          <w:sz w:val="24"/>
          <w:szCs w:val="24"/>
        </w:rPr>
        <w:t xml:space="preserve">(0900 - </w:t>
      </w:r>
      <w:r w:rsidR="001C3709">
        <w:rPr>
          <w:sz w:val="24"/>
          <w:szCs w:val="24"/>
        </w:rPr>
        <w:t>1700 hours</w:t>
      </w:r>
      <w:r>
        <w:rPr>
          <w:sz w:val="24"/>
          <w:szCs w:val="24"/>
        </w:rPr>
        <w:t>)</w:t>
      </w:r>
    </w:p>
    <w:p w:rsidR="00DE5B95" w:rsidRDefault="001234C6" w:rsidP="001234C6">
      <w:pPr>
        <w:spacing w:after="0" w:line="240" w:lineRule="auto"/>
        <w:jc w:val="center"/>
        <w:rPr>
          <w:sz w:val="24"/>
          <w:szCs w:val="24"/>
        </w:rPr>
      </w:pPr>
      <w:r>
        <w:rPr>
          <w:sz w:val="24"/>
          <w:szCs w:val="24"/>
        </w:rPr>
        <w:t xml:space="preserve">Hilton </w:t>
      </w:r>
      <w:r w:rsidR="00DE5B95">
        <w:rPr>
          <w:sz w:val="24"/>
          <w:szCs w:val="24"/>
        </w:rPr>
        <w:t>Petaling Jaya</w:t>
      </w:r>
    </w:p>
    <w:p w:rsidR="001C3709" w:rsidRDefault="001C3709" w:rsidP="001C3709"/>
    <w:p w:rsidR="001C3709" w:rsidRPr="004E6547" w:rsidRDefault="00CC6CFD" w:rsidP="001C3709">
      <w:pPr>
        <w:rPr>
          <w:sz w:val="24"/>
          <w:szCs w:val="24"/>
        </w:rPr>
      </w:pPr>
      <w:r w:rsidRPr="00CC6CFD">
        <w:rPr>
          <w:noProof/>
          <w:color w:val="548DD4" w:themeColor="text2" w:themeTint="99"/>
          <w:sz w:val="24"/>
          <w:szCs w:val="24"/>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41" type="#_x0000_t55" style="position:absolute;margin-left:-17.8pt;margin-top:-.45pt;width:11.05pt;height:16.85pt;z-index:251673600" strokecolor="#548dd4"/>
        </w:pict>
      </w:r>
      <w:r w:rsidR="0007636E">
        <w:rPr>
          <w:sz w:val="24"/>
          <w:szCs w:val="24"/>
        </w:rPr>
        <w:t>D</w:t>
      </w:r>
      <w:r w:rsidR="001C3709">
        <w:rPr>
          <w:sz w:val="24"/>
          <w:szCs w:val="24"/>
        </w:rPr>
        <w:t>ate:</w:t>
      </w:r>
    </w:p>
    <w:tbl>
      <w:tblPr>
        <w:tblW w:w="0" w:type="auto"/>
        <w:tblInd w:w="340" w:type="dxa"/>
        <w:tblLayout w:type="fixed"/>
        <w:tblLook w:val="04A0"/>
      </w:tblPr>
      <w:tblGrid>
        <w:gridCol w:w="250"/>
        <w:gridCol w:w="2592"/>
        <w:gridCol w:w="245"/>
        <w:gridCol w:w="2592"/>
        <w:gridCol w:w="283"/>
        <w:gridCol w:w="284"/>
        <w:gridCol w:w="283"/>
        <w:gridCol w:w="623"/>
      </w:tblGrid>
      <w:tr w:rsidR="001C3709" w:rsidRPr="00E76169" w:rsidTr="001234C6">
        <w:tc>
          <w:tcPr>
            <w:tcW w:w="250" w:type="dxa"/>
          </w:tcPr>
          <w:p w:rsidR="001C3709" w:rsidRPr="00E76169" w:rsidRDefault="001234C6" w:rsidP="007349B9">
            <w:pPr>
              <w:spacing w:after="0" w:line="240" w:lineRule="auto"/>
              <w:rPr>
                <w:sz w:val="24"/>
                <w:szCs w:val="24"/>
              </w:rPr>
            </w:pPr>
            <w:r>
              <w:rPr>
                <w:noProof/>
                <w:sz w:val="24"/>
                <w:szCs w:val="24"/>
              </w:rPr>
              <w:pict>
                <v:rect id="_x0000_s1044" style="position:absolute;margin-left:-6.3pt;margin-top:-.1pt;width:10.65pt;height:10.05pt;z-index:251676672;mso-position-vertical-relative:margin">
                  <v:shadow on="t" offset=",3pt" offset2=",2pt"/>
                  <w10:wrap anchory="margin"/>
                </v:rect>
              </w:pict>
            </w:r>
          </w:p>
        </w:tc>
        <w:tc>
          <w:tcPr>
            <w:tcW w:w="2592" w:type="dxa"/>
          </w:tcPr>
          <w:p w:rsidR="001C3709" w:rsidRPr="00E76169" w:rsidRDefault="001234C6" w:rsidP="0092057A">
            <w:pPr>
              <w:spacing w:after="0" w:line="240" w:lineRule="auto"/>
              <w:rPr>
                <w:sz w:val="24"/>
                <w:szCs w:val="24"/>
              </w:rPr>
            </w:pPr>
            <w:r>
              <w:rPr>
                <w:noProof/>
                <w:sz w:val="24"/>
                <w:szCs w:val="24"/>
              </w:rPr>
              <w:pict>
                <v:rect id="_x0000_s1050" style="position:absolute;margin-left:123.5pt;margin-top:-.1pt;width:10.65pt;height:10.05pt;z-index:251679744;mso-position-horizontal-relative:text;mso-position-vertical-relative:margin">
                  <v:shadow on="t" offset=",3pt" offset2=",2pt"/>
                  <w10:wrap anchory="margin"/>
                </v:rect>
              </w:pict>
            </w:r>
            <w:r w:rsidR="0092057A">
              <w:rPr>
                <w:sz w:val="24"/>
                <w:szCs w:val="24"/>
              </w:rPr>
              <w:t>13</w:t>
            </w:r>
            <w:r w:rsidR="0092057A" w:rsidRPr="0092057A">
              <w:rPr>
                <w:sz w:val="24"/>
                <w:szCs w:val="24"/>
                <w:vertAlign w:val="superscript"/>
              </w:rPr>
              <w:t>th</w:t>
            </w:r>
            <w:r w:rsidR="0092057A">
              <w:rPr>
                <w:sz w:val="24"/>
                <w:szCs w:val="24"/>
              </w:rPr>
              <w:t xml:space="preserve"> January</w:t>
            </w:r>
            <w:r>
              <w:rPr>
                <w:sz w:val="24"/>
                <w:szCs w:val="24"/>
              </w:rPr>
              <w:t xml:space="preserve"> 2017</w:t>
            </w:r>
          </w:p>
        </w:tc>
        <w:tc>
          <w:tcPr>
            <w:tcW w:w="245" w:type="dxa"/>
          </w:tcPr>
          <w:p w:rsidR="001C3709" w:rsidRPr="00E76169" w:rsidRDefault="001C3709" w:rsidP="007349B9">
            <w:pPr>
              <w:spacing w:after="0" w:line="240" w:lineRule="auto"/>
              <w:rPr>
                <w:sz w:val="24"/>
                <w:szCs w:val="24"/>
              </w:rPr>
            </w:pPr>
          </w:p>
        </w:tc>
        <w:tc>
          <w:tcPr>
            <w:tcW w:w="2592" w:type="dxa"/>
          </w:tcPr>
          <w:p w:rsidR="001C3709" w:rsidRPr="00E76169" w:rsidRDefault="0092057A" w:rsidP="007349B9">
            <w:pPr>
              <w:spacing w:after="0" w:line="240" w:lineRule="auto"/>
              <w:rPr>
                <w:sz w:val="24"/>
                <w:szCs w:val="24"/>
              </w:rPr>
            </w:pPr>
            <w:r>
              <w:rPr>
                <w:sz w:val="24"/>
                <w:szCs w:val="24"/>
              </w:rPr>
              <w:t>21</w:t>
            </w:r>
            <w:r w:rsidRPr="0092057A">
              <w:rPr>
                <w:sz w:val="24"/>
                <w:szCs w:val="24"/>
                <w:vertAlign w:val="superscript"/>
              </w:rPr>
              <w:t>st</w:t>
            </w:r>
            <w:r>
              <w:rPr>
                <w:sz w:val="24"/>
                <w:szCs w:val="24"/>
              </w:rPr>
              <w:t xml:space="preserve"> April 2017</w:t>
            </w:r>
          </w:p>
        </w:tc>
        <w:tc>
          <w:tcPr>
            <w:tcW w:w="283" w:type="dxa"/>
          </w:tcPr>
          <w:p w:rsidR="001C3709" w:rsidRPr="00E76169" w:rsidRDefault="001C3709" w:rsidP="007349B9">
            <w:pPr>
              <w:spacing w:after="0" w:line="240" w:lineRule="auto"/>
              <w:rPr>
                <w:sz w:val="24"/>
                <w:szCs w:val="24"/>
              </w:rPr>
            </w:pPr>
          </w:p>
        </w:tc>
        <w:tc>
          <w:tcPr>
            <w:tcW w:w="284" w:type="dxa"/>
          </w:tcPr>
          <w:p w:rsidR="001C3709" w:rsidRPr="00E76169" w:rsidRDefault="001C3709" w:rsidP="007349B9">
            <w:pPr>
              <w:spacing w:after="0" w:line="240" w:lineRule="auto"/>
              <w:rPr>
                <w:sz w:val="24"/>
                <w:szCs w:val="24"/>
              </w:rPr>
            </w:pPr>
          </w:p>
        </w:tc>
        <w:tc>
          <w:tcPr>
            <w:tcW w:w="283" w:type="dxa"/>
          </w:tcPr>
          <w:p w:rsidR="001C3709" w:rsidRDefault="001C3709" w:rsidP="007349B9">
            <w:pPr>
              <w:spacing w:after="0" w:line="240" w:lineRule="auto"/>
              <w:rPr>
                <w:sz w:val="24"/>
                <w:szCs w:val="24"/>
              </w:rPr>
            </w:pPr>
          </w:p>
        </w:tc>
        <w:tc>
          <w:tcPr>
            <w:tcW w:w="623" w:type="dxa"/>
          </w:tcPr>
          <w:p w:rsidR="001C3709" w:rsidRDefault="001C3709" w:rsidP="007349B9">
            <w:pPr>
              <w:spacing w:after="0" w:line="240" w:lineRule="auto"/>
              <w:rPr>
                <w:sz w:val="24"/>
                <w:szCs w:val="24"/>
              </w:rPr>
            </w:pPr>
          </w:p>
        </w:tc>
      </w:tr>
    </w:tbl>
    <w:p w:rsidR="001C3709" w:rsidRDefault="001C3709" w:rsidP="001C3709">
      <w:pPr>
        <w:pStyle w:val="Heading2"/>
        <w:jc w:val="left"/>
        <w:rPr>
          <w:sz w:val="16"/>
          <w:szCs w:val="16"/>
        </w:rPr>
      </w:pPr>
    </w:p>
    <w:p w:rsidR="007349B9" w:rsidRDefault="007349B9" w:rsidP="001C3709">
      <w:pPr>
        <w:rPr>
          <w:sz w:val="24"/>
          <w:szCs w:val="24"/>
        </w:rPr>
      </w:pPr>
    </w:p>
    <w:p w:rsidR="001C3709" w:rsidRPr="004E6547" w:rsidRDefault="00CC6CFD" w:rsidP="001C3709">
      <w:pPr>
        <w:rPr>
          <w:sz w:val="24"/>
          <w:szCs w:val="24"/>
        </w:rPr>
      </w:pPr>
      <w:r w:rsidRPr="00CC6CFD">
        <w:rPr>
          <w:noProof/>
          <w:color w:val="548DD4" w:themeColor="text2" w:themeTint="99"/>
          <w:sz w:val="24"/>
          <w:szCs w:val="24"/>
        </w:rPr>
        <w:pict>
          <v:shape id="_x0000_s1042" type="#_x0000_t55" style="position:absolute;margin-left:-17.8pt;margin-top:.3pt;width:11.05pt;height:16.85pt;z-index:251674624" strokecolor="#548dd4"/>
        </w:pict>
      </w:r>
      <w:r w:rsidR="001C3709" w:rsidRPr="004E6547">
        <w:rPr>
          <w:sz w:val="24"/>
          <w:szCs w:val="24"/>
        </w:rPr>
        <w:t>Details:</w:t>
      </w:r>
    </w:p>
    <w:tbl>
      <w:tblPr>
        <w:tblW w:w="0" w:type="auto"/>
        <w:tblInd w:w="340" w:type="dxa"/>
        <w:tblLayout w:type="fixed"/>
        <w:tblLook w:val="04A0"/>
      </w:tblPr>
      <w:tblGrid>
        <w:gridCol w:w="2298"/>
        <w:gridCol w:w="284"/>
        <w:gridCol w:w="6280"/>
      </w:tblGrid>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Name of Participant</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Designation</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NRIC / Passport #</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Name of Company</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Address of Company</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p>
        </w:tc>
        <w:tc>
          <w:tcPr>
            <w:tcW w:w="284" w:type="dxa"/>
            <w:vAlign w:val="center"/>
          </w:tcPr>
          <w:p w:rsidR="001C3709" w:rsidRPr="00E76169" w:rsidRDefault="001C3709" w:rsidP="007349B9">
            <w:pPr>
              <w:spacing w:after="0" w:line="240" w:lineRule="auto"/>
              <w:rPr>
                <w:sz w:val="24"/>
                <w:szCs w:val="24"/>
              </w:rPr>
            </w:pP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Contact Person &amp; Designation</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Tel.#</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Fax #</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E-mail</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bl>
    <w:p w:rsidR="00191908" w:rsidRDefault="00191908" w:rsidP="001C3709">
      <w:pPr>
        <w:spacing w:after="0" w:line="240" w:lineRule="auto"/>
        <w:jc w:val="center"/>
        <w:rPr>
          <w:noProof/>
          <w:sz w:val="24"/>
          <w:szCs w:val="24"/>
        </w:rPr>
      </w:pPr>
    </w:p>
    <w:p w:rsidR="0010616B" w:rsidRDefault="00CC6CFD" w:rsidP="001C3709">
      <w:pPr>
        <w:spacing w:after="0" w:line="240" w:lineRule="auto"/>
        <w:jc w:val="center"/>
        <w:rPr>
          <w:noProof/>
          <w:sz w:val="24"/>
          <w:szCs w:val="24"/>
        </w:rPr>
      </w:pPr>
      <w:r>
        <w:rPr>
          <w:noProof/>
          <w:sz w:val="24"/>
          <w:szCs w:val="24"/>
        </w:rPr>
        <w:pict>
          <v:shape id="_x0000_s1043" type="#_x0000_t55" style="position:absolute;left:0;text-align:left;margin-left:-17.8pt;margin-top:.2pt;width:11.05pt;height:16.85pt;z-index:251675648" strokecolor="#548dd4"/>
        </w:pict>
      </w:r>
      <w:r w:rsidR="001C3709" w:rsidRPr="00E94F5F">
        <w:rPr>
          <w:noProof/>
          <w:sz w:val="24"/>
          <w:szCs w:val="24"/>
        </w:rPr>
        <w:t>TO REGISTER,</w:t>
      </w:r>
    </w:p>
    <w:p w:rsidR="001C3709" w:rsidRDefault="001C3709" w:rsidP="001C3709">
      <w:pPr>
        <w:spacing w:after="0" w:line="240" w:lineRule="auto"/>
        <w:jc w:val="center"/>
        <w:rPr>
          <w:noProof/>
          <w:sz w:val="24"/>
          <w:szCs w:val="24"/>
        </w:rPr>
      </w:pPr>
      <w:r w:rsidRPr="00E94F5F">
        <w:rPr>
          <w:noProof/>
          <w:sz w:val="24"/>
          <w:szCs w:val="24"/>
        </w:rPr>
        <w:t>PLEASE CALL 03-7958 8001 / 03-7958 8002 OR</w:t>
      </w:r>
    </w:p>
    <w:p w:rsidR="001C3709" w:rsidRDefault="001C3709" w:rsidP="001C3709">
      <w:pPr>
        <w:spacing w:after="0" w:line="240" w:lineRule="auto"/>
        <w:jc w:val="center"/>
        <w:rPr>
          <w:noProof/>
          <w:sz w:val="24"/>
          <w:szCs w:val="24"/>
        </w:rPr>
      </w:pPr>
      <w:r w:rsidRPr="00E94F5F">
        <w:rPr>
          <w:noProof/>
          <w:sz w:val="24"/>
          <w:szCs w:val="24"/>
        </w:rPr>
        <w:t>FAX REGISTRATION FORM TO:</w:t>
      </w:r>
      <w:r w:rsidR="00D72256">
        <w:rPr>
          <w:noProof/>
          <w:sz w:val="24"/>
          <w:szCs w:val="24"/>
        </w:rPr>
        <w:t>03-7954 8001</w:t>
      </w:r>
      <w:r w:rsidRPr="00E94F5F">
        <w:rPr>
          <w:noProof/>
          <w:sz w:val="24"/>
          <w:szCs w:val="24"/>
        </w:rPr>
        <w:t xml:space="preserve"> OR</w:t>
      </w:r>
    </w:p>
    <w:p w:rsidR="001C3709" w:rsidRPr="00C97D66" w:rsidRDefault="001C3709" w:rsidP="001C3709">
      <w:pPr>
        <w:spacing w:after="0" w:line="240" w:lineRule="auto"/>
        <w:jc w:val="center"/>
        <w:rPr>
          <w:noProof/>
          <w:color w:val="548DD4" w:themeColor="text2" w:themeTint="99"/>
          <w:sz w:val="24"/>
          <w:szCs w:val="24"/>
        </w:rPr>
      </w:pPr>
      <w:r w:rsidRPr="00E94F5F">
        <w:rPr>
          <w:noProof/>
          <w:sz w:val="24"/>
          <w:szCs w:val="24"/>
        </w:rPr>
        <w:t>E-MAIL TO: sophiah@bursatra.com.my</w:t>
      </w:r>
    </w:p>
    <w:p w:rsidR="00DE5B95" w:rsidRDefault="00DE5B95" w:rsidP="00374D0B">
      <w:pPr>
        <w:jc w:val="both"/>
        <w:rPr>
          <w:sz w:val="20"/>
          <w:szCs w:val="20"/>
        </w:rPr>
      </w:pPr>
    </w:p>
    <w:p w:rsidR="00DE5B95" w:rsidRPr="00374D0B" w:rsidRDefault="00DE5B95" w:rsidP="00DE5B95">
      <w:pPr>
        <w:jc w:val="center"/>
        <w:rPr>
          <w:sz w:val="20"/>
          <w:szCs w:val="20"/>
        </w:rPr>
      </w:pPr>
      <w:r w:rsidRPr="00DE5B95">
        <w:rPr>
          <w:sz w:val="20"/>
          <w:szCs w:val="20"/>
        </w:rPr>
        <w:t>BURSATRA SDN BHD IS A REGISTERED TRAINING PROVIDER WITH PSMB (Reg. No: 520353-U)</w:t>
      </w:r>
    </w:p>
    <w:sectPr w:rsidR="00DE5B95" w:rsidRPr="00374D0B" w:rsidSect="00455A2A">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ep="1"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4C93" w:rsidRDefault="00114C93" w:rsidP="00C4570F">
      <w:pPr>
        <w:spacing w:after="0" w:line="240" w:lineRule="auto"/>
      </w:pPr>
      <w:r>
        <w:separator/>
      </w:r>
    </w:p>
  </w:endnote>
  <w:endnote w:type="continuationSeparator" w:id="1">
    <w:p w:rsidR="00114C93" w:rsidRDefault="00114C93" w:rsidP="00C457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A2A" w:rsidRDefault="00455A2A">
    <w:pPr>
      <w:pStyle w:val="Footer"/>
      <w:pBdr>
        <w:top w:val="thinThickSmallGap" w:sz="24" w:space="1" w:color="622423" w:themeColor="accent2" w:themeShade="7F"/>
      </w:pBdr>
      <w:rPr>
        <w:rFonts w:asciiTheme="majorHAnsi" w:hAnsiTheme="majorHAnsi"/>
      </w:rPr>
    </w:pPr>
    <w:r>
      <w:rPr>
        <w:rFonts w:asciiTheme="majorHAnsi" w:hAnsiTheme="majorHAnsi"/>
      </w:rPr>
      <w:t>Financial Management and Reporting</w:t>
    </w:r>
    <w:r>
      <w:rPr>
        <w:rFonts w:asciiTheme="majorHAnsi" w:hAnsiTheme="majorHAnsi"/>
      </w:rPr>
      <w:ptab w:relativeTo="margin" w:alignment="right" w:leader="none"/>
    </w:r>
    <w:r>
      <w:rPr>
        <w:rFonts w:asciiTheme="majorHAnsi" w:hAnsiTheme="majorHAnsi"/>
      </w:rPr>
      <w:t xml:space="preserve">Page </w:t>
    </w:r>
    <w:r w:rsidR="00CC6CFD" w:rsidRPr="00CC6CFD">
      <w:fldChar w:fldCharType="begin"/>
    </w:r>
    <w:r w:rsidR="006A5A21">
      <w:instrText xml:space="preserve"> PAGE   \* MERGEFORMAT </w:instrText>
    </w:r>
    <w:r w:rsidR="00CC6CFD" w:rsidRPr="00CC6CFD">
      <w:fldChar w:fldCharType="separate"/>
    </w:r>
    <w:r w:rsidR="001234C6" w:rsidRPr="001234C6">
      <w:rPr>
        <w:rFonts w:asciiTheme="majorHAnsi" w:hAnsiTheme="majorHAnsi"/>
        <w:noProof/>
      </w:rPr>
      <w:t>4</w:t>
    </w:r>
    <w:r w:rsidR="00CC6CFD">
      <w:rPr>
        <w:rFonts w:asciiTheme="majorHAnsi" w:hAnsiTheme="majorHAnsi"/>
        <w:noProof/>
      </w:rPr>
      <w:fldChar w:fldCharType="end"/>
    </w:r>
  </w:p>
  <w:p w:rsidR="00455A2A" w:rsidRDefault="00455A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A2A" w:rsidRDefault="00455A2A">
    <w:pPr>
      <w:pStyle w:val="Footer"/>
      <w:pBdr>
        <w:top w:val="thinThickSmallGap" w:sz="24" w:space="1" w:color="622423" w:themeColor="accent2" w:themeShade="7F"/>
      </w:pBdr>
      <w:rPr>
        <w:rFonts w:asciiTheme="majorHAnsi" w:hAnsiTheme="majorHAnsi"/>
      </w:rPr>
    </w:pPr>
    <w:r>
      <w:rPr>
        <w:rFonts w:asciiTheme="majorHAnsi" w:hAnsiTheme="majorHAnsi"/>
      </w:rPr>
      <w:t>Financial Management and Reporting</w:t>
    </w:r>
    <w:r>
      <w:rPr>
        <w:rFonts w:asciiTheme="majorHAnsi" w:hAnsiTheme="majorHAnsi"/>
      </w:rPr>
      <w:ptab w:relativeTo="margin" w:alignment="right" w:leader="none"/>
    </w:r>
    <w:r>
      <w:rPr>
        <w:rFonts w:asciiTheme="majorHAnsi" w:hAnsiTheme="majorHAnsi"/>
      </w:rPr>
      <w:t xml:space="preserve">Page </w:t>
    </w:r>
    <w:r w:rsidR="00CC6CFD" w:rsidRPr="00CC6CFD">
      <w:fldChar w:fldCharType="begin"/>
    </w:r>
    <w:r w:rsidR="006A5A21">
      <w:instrText xml:space="preserve"> PAGE   \* MERGEFORMAT </w:instrText>
    </w:r>
    <w:r w:rsidR="00CC6CFD" w:rsidRPr="00CC6CFD">
      <w:fldChar w:fldCharType="separate"/>
    </w:r>
    <w:r w:rsidR="001234C6" w:rsidRPr="001234C6">
      <w:rPr>
        <w:rFonts w:asciiTheme="majorHAnsi" w:hAnsiTheme="majorHAnsi"/>
        <w:noProof/>
      </w:rPr>
      <w:t>2</w:t>
    </w:r>
    <w:r w:rsidR="00CC6CFD">
      <w:rPr>
        <w:rFonts w:asciiTheme="majorHAnsi" w:hAnsiTheme="majorHAnsi"/>
        <w:noProof/>
      </w:rPr>
      <w:fldChar w:fldCharType="end"/>
    </w:r>
  </w:p>
  <w:p w:rsidR="00FE2470" w:rsidRPr="00FE2470" w:rsidRDefault="00FE2470" w:rsidP="00FE2470">
    <w:pPr>
      <w:pStyle w:val="Footer"/>
      <w:rPr>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4C93" w:rsidRDefault="00114C93" w:rsidP="00C4570F">
      <w:pPr>
        <w:spacing w:after="0" w:line="240" w:lineRule="auto"/>
      </w:pPr>
      <w:r>
        <w:separator/>
      </w:r>
    </w:p>
  </w:footnote>
  <w:footnote w:type="continuationSeparator" w:id="1">
    <w:p w:rsidR="00114C93" w:rsidRDefault="00114C93" w:rsidP="00C457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70F" w:rsidRDefault="00CC6C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475829" o:spid="_x0000_s2066" type="#_x0000_t75" style="position:absolute;margin-left:0;margin-top:0;width:285pt;height:273.6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70F" w:rsidRDefault="00CC6C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475830" o:spid="_x0000_s2067" type="#_x0000_t75" style="position:absolute;margin-left:0;margin-top:0;width:285pt;height:273.6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70F" w:rsidRDefault="00CC6C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475828" o:spid="_x0000_s2065" type="#_x0000_t75" style="position:absolute;margin-left:0;margin-top:0;width:285pt;height:273.6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E7953"/>
    <w:multiLevelType w:val="hybridMultilevel"/>
    <w:tmpl w:val="579A1884"/>
    <w:lvl w:ilvl="0" w:tplc="B386CB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7A5063"/>
    <w:multiLevelType w:val="hybridMultilevel"/>
    <w:tmpl w:val="4BD233FA"/>
    <w:lvl w:ilvl="0" w:tplc="B386CB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826BB0"/>
    <w:multiLevelType w:val="hybridMultilevel"/>
    <w:tmpl w:val="1D76777A"/>
    <w:lvl w:ilvl="0" w:tplc="B386CB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4043FE"/>
    <w:multiLevelType w:val="hybridMultilevel"/>
    <w:tmpl w:val="4AEA445E"/>
    <w:lvl w:ilvl="0" w:tplc="B386CB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DB5F70"/>
    <w:multiLevelType w:val="hybridMultilevel"/>
    <w:tmpl w:val="09C08E9C"/>
    <w:lvl w:ilvl="0" w:tplc="B386CB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rsids>
    <w:rsidRoot w:val="0006374D"/>
    <w:rsid w:val="000230E8"/>
    <w:rsid w:val="0006374D"/>
    <w:rsid w:val="00071E72"/>
    <w:rsid w:val="0007636E"/>
    <w:rsid w:val="000F3B01"/>
    <w:rsid w:val="00102AC5"/>
    <w:rsid w:val="0010616B"/>
    <w:rsid w:val="0010787A"/>
    <w:rsid w:val="00114C93"/>
    <w:rsid w:val="001234C6"/>
    <w:rsid w:val="00146609"/>
    <w:rsid w:val="00183B42"/>
    <w:rsid w:val="00191908"/>
    <w:rsid w:val="001B6AE2"/>
    <w:rsid w:val="001C3709"/>
    <w:rsid w:val="00252425"/>
    <w:rsid w:val="00374D0B"/>
    <w:rsid w:val="00394A2C"/>
    <w:rsid w:val="00455A2A"/>
    <w:rsid w:val="00474823"/>
    <w:rsid w:val="004B0FC1"/>
    <w:rsid w:val="004C7765"/>
    <w:rsid w:val="004D32C8"/>
    <w:rsid w:val="00537C12"/>
    <w:rsid w:val="00620B11"/>
    <w:rsid w:val="006A5A21"/>
    <w:rsid w:val="007349B9"/>
    <w:rsid w:val="00773E24"/>
    <w:rsid w:val="00800839"/>
    <w:rsid w:val="00822CE1"/>
    <w:rsid w:val="00890A4F"/>
    <w:rsid w:val="008D444E"/>
    <w:rsid w:val="00914494"/>
    <w:rsid w:val="00916FB5"/>
    <w:rsid w:val="0092057A"/>
    <w:rsid w:val="00977688"/>
    <w:rsid w:val="00990A9F"/>
    <w:rsid w:val="009B6CB4"/>
    <w:rsid w:val="009D7515"/>
    <w:rsid w:val="009F28CE"/>
    <w:rsid w:val="00AD5DA3"/>
    <w:rsid w:val="00B26521"/>
    <w:rsid w:val="00B51448"/>
    <w:rsid w:val="00C148C2"/>
    <w:rsid w:val="00C33888"/>
    <w:rsid w:val="00C4570F"/>
    <w:rsid w:val="00C673BE"/>
    <w:rsid w:val="00C702E0"/>
    <w:rsid w:val="00CC6CFD"/>
    <w:rsid w:val="00D02035"/>
    <w:rsid w:val="00D30C7C"/>
    <w:rsid w:val="00D40625"/>
    <w:rsid w:val="00D40935"/>
    <w:rsid w:val="00D5319D"/>
    <w:rsid w:val="00D7032B"/>
    <w:rsid w:val="00D72256"/>
    <w:rsid w:val="00DE5B95"/>
    <w:rsid w:val="00DF00E4"/>
    <w:rsid w:val="00E02553"/>
    <w:rsid w:val="00E11DAF"/>
    <w:rsid w:val="00E45B4D"/>
    <w:rsid w:val="00EA763B"/>
    <w:rsid w:val="00ED48FD"/>
    <w:rsid w:val="00ED7F0B"/>
    <w:rsid w:val="00F35B6A"/>
    <w:rsid w:val="00F842DC"/>
    <w:rsid w:val="00F872A8"/>
    <w:rsid w:val="00FE2470"/>
    <w:rsid w:val="00FE2F55"/>
    <w:rsid w:val="00FF0A5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609"/>
  </w:style>
  <w:style w:type="paragraph" w:styleId="Heading2">
    <w:name w:val="heading 2"/>
    <w:basedOn w:val="Normal"/>
    <w:next w:val="Normal"/>
    <w:link w:val="Heading2Char"/>
    <w:qFormat/>
    <w:rsid w:val="001C3709"/>
    <w:pPr>
      <w:keepNext/>
      <w:spacing w:after="0" w:line="240" w:lineRule="auto"/>
      <w:jc w:val="center"/>
      <w:outlineLvl w:val="1"/>
    </w:pPr>
    <w:rPr>
      <w:rFonts w:ascii="Arial" w:eastAsia="Times New Roman" w:hAnsi="Arial"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6374D"/>
    <w:pPr>
      <w:spacing w:after="0" w:line="240" w:lineRule="auto"/>
    </w:pPr>
    <w:rPr>
      <w:rFonts w:eastAsiaTheme="minorEastAsia"/>
    </w:rPr>
  </w:style>
  <w:style w:type="character" w:customStyle="1" w:styleId="NoSpacingChar">
    <w:name w:val="No Spacing Char"/>
    <w:basedOn w:val="DefaultParagraphFont"/>
    <w:link w:val="NoSpacing"/>
    <w:uiPriority w:val="1"/>
    <w:rsid w:val="0006374D"/>
    <w:rPr>
      <w:rFonts w:eastAsiaTheme="minorEastAsia"/>
    </w:rPr>
  </w:style>
  <w:style w:type="paragraph" w:styleId="BalloonText">
    <w:name w:val="Balloon Text"/>
    <w:basedOn w:val="Normal"/>
    <w:link w:val="BalloonTextChar"/>
    <w:uiPriority w:val="99"/>
    <w:semiHidden/>
    <w:unhideWhenUsed/>
    <w:rsid w:val="000637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74D"/>
    <w:rPr>
      <w:rFonts w:ascii="Tahoma" w:hAnsi="Tahoma" w:cs="Tahoma"/>
      <w:sz w:val="16"/>
      <w:szCs w:val="16"/>
    </w:rPr>
  </w:style>
  <w:style w:type="paragraph" w:styleId="ListParagraph">
    <w:name w:val="List Paragraph"/>
    <w:basedOn w:val="Normal"/>
    <w:uiPriority w:val="34"/>
    <w:qFormat/>
    <w:rsid w:val="00374D0B"/>
    <w:pPr>
      <w:ind w:left="720"/>
      <w:contextualSpacing/>
    </w:pPr>
  </w:style>
  <w:style w:type="table" w:styleId="TableGrid">
    <w:name w:val="Table Grid"/>
    <w:basedOn w:val="TableNormal"/>
    <w:uiPriority w:val="59"/>
    <w:rsid w:val="008D4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457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570F"/>
  </w:style>
  <w:style w:type="paragraph" w:styleId="Footer">
    <w:name w:val="footer"/>
    <w:basedOn w:val="Normal"/>
    <w:link w:val="FooterChar"/>
    <w:uiPriority w:val="99"/>
    <w:unhideWhenUsed/>
    <w:rsid w:val="00C45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70F"/>
  </w:style>
  <w:style w:type="character" w:customStyle="1" w:styleId="Heading2Char">
    <w:name w:val="Heading 2 Char"/>
    <w:basedOn w:val="DefaultParagraphFont"/>
    <w:link w:val="Heading2"/>
    <w:rsid w:val="001C3709"/>
    <w:rPr>
      <w:rFonts w:ascii="Arial" w:eastAsia="Times New Roman" w:hAnsi="Arial" w:cs="Times New Roman"/>
      <w:b/>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footer" Target="foot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gi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E8044E-F764-4216-BA31-4139076CE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4</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Comprehending Financial Statements For Directors and Senior Management</vt:lpstr>
    </vt:vector>
  </TitlesOfParts>
  <Company>Proxy</Company>
  <LinksUpToDate>false</LinksUpToDate>
  <CharactersWithSpaces>5017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Comprehending Financial Statements For Directors and Senior Management</dc:title>
  <dc:subject/>
  <dc:creator>Azlan</dc:creator>
  <cp:keywords/>
  <dc:description/>
  <cp:lastModifiedBy>hp</cp:lastModifiedBy>
  <cp:revision>40</cp:revision>
  <cp:lastPrinted>2017-01-03T10:33:00Z</cp:lastPrinted>
  <dcterms:created xsi:type="dcterms:W3CDTF">2015-09-17T19:00:00Z</dcterms:created>
  <dcterms:modified xsi:type="dcterms:W3CDTF">2017-01-18T18:59:00Z</dcterms:modified>
</cp:coreProperties>
</file>